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F44778">
              <w:rPr>
                <w:rFonts w:asciiTheme="majorHAnsi" w:eastAsiaTheme="majorEastAsia" w:hAnsiTheme="majorHAnsi" w:cstheme="majorBidi"/>
                <w:sz w:val="36"/>
                <w:szCs w:val="36"/>
              </w:rPr>
              <w:t>AĞUSTOS</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F44778"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17</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Ekim</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F44778">
        <w:rPr>
          <w:rFonts w:ascii="Times New Roman" w:hAnsi="Times New Roman" w:cs="Times New Roman"/>
          <w:b/>
        </w:rPr>
        <w:t>Ağustos</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F44778">
        <w:rPr>
          <w:rFonts w:ascii="Times New Roman" w:hAnsi="Times New Roman" w:cs="Times New Roman"/>
          <w:b/>
        </w:rPr>
        <w:t>17</w:t>
      </w:r>
      <w:r w:rsidR="007B6E96" w:rsidRPr="00106F6F">
        <w:rPr>
          <w:rFonts w:ascii="Times New Roman" w:hAnsi="Times New Roman" w:cs="Times New Roman"/>
          <w:b/>
        </w:rPr>
        <w:t xml:space="preserve"> </w:t>
      </w:r>
      <w:r w:rsidR="00F44778">
        <w:rPr>
          <w:rFonts w:ascii="Times New Roman" w:hAnsi="Times New Roman" w:cs="Times New Roman"/>
          <w:b/>
        </w:rPr>
        <w:t>Ekim</w:t>
      </w:r>
      <w:r w:rsidR="00DC2013">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F44778">
        <w:rPr>
          <w:rFonts w:ascii="Times New Roman" w:hAnsi="Times New Roman" w:cs="Times New Roman"/>
          <w:b/>
        </w:rPr>
        <w:t>yılı Ağustos</w:t>
      </w:r>
      <w:r w:rsidR="00DC2013">
        <w:rPr>
          <w:rFonts w:ascii="Times New Roman" w:hAnsi="Times New Roman" w:cs="Times New Roman"/>
          <w:b/>
        </w:rPr>
        <w:t xml:space="preserve">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F44778">
        <w:rPr>
          <w:rFonts w:ascii="Times New Roman" w:hAnsi="Times New Roman" w:cs="Times New Roman"/>
          <w:b/>
        </w:rPr>
        <w:t>6</w:t>
      </w:r>
      <w:r w:rsidR="00DC2013">
        <w:rPr>
          <w:rFonts w:ascii="Times New Roman" w:hAnsi="Times New Roman" w:cs="Times New Roman"/>
          <w:b/>
        </w:rPr>
        <w:t>,2</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F44778">
        <w:rPr>
          <w:rFonts w:ascii="Times New Roman" w:hAnsi="Times New Roman" w:cs="Times New Roman"/>
          <w:b/>
        </w:rPr>
        <w:t>120,7</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F44778">
        <w:rPr>
          <w:rFonts w:ascii="Times New Roman" w:hAnsi="Times New Roman" w:cs="Times New Roman"/>
          <w:b/>
        </w:rPr>
        <w:t>58</w:t>
      </w:r>
      <w:r w:rsidR="00240E74">
        <w:rPr>
          <w:rFonts w:ascii="Times New Roman" w:hAnsi="Times New Roman" w:cs="Times New Roman"/>
          <w:b/>
        </w:rPr>
        <w:t xml:space="preserve"> </w:t>
      </w:r>
      <w:r w:rsidR="00F44778">
        <w:rPr>
          <w:rFonts w:ascii="Times New Roman" w:hAnsi="Times New Roman" w:cs="Times New Roman"/>
          <w:b/>
        </w:rPr>
        <w:t>milyon</w:t>
      </w:r>
      <w:r w:rsidR="00AA7B75">
        <w:rPr>
          <w:rFonts w:ascii="Times New Roman" w:hAnsi="Times New Roman" w:cs="Times New Roman"/>
          <w:b/>
        </w:rPr>
        <w:t xml:space="preserve"> </w:t>
      </w:r>
      <w:r w:rsidR="00DC2013">
        <w:rPr>
          <w:rFonts w:ascii="Times New Roman" w:hAnsi="Times New Roman" w:cs="Times New Roman"/>
          <w:b/>
        </w:rPr>
        <w:t>ABD doları artarak</w:t>
      </w:r>
      <w:r w:rsidR="00EC5A9D" w:rsidRPr="008C61EB">
        <w:rPr>
          <w:rFonts w:ascii="Times New Roman" w:hAnsi="Times New Roman" w:cs="Times New Roman"/>
          <w:b/>
        </w:rPr>
        <w:t xml:space="preserve"> </w:t>
      </w:r>
      <w:r w:rsidR="00F44778">
        <w:rPr>
          <w:rFonts w:ascii="Times New Roman" w:hAnsi="Times New Roman" w:cs="Times New Roman"/>
          <w:b/>
        </w:rPr>
        <w:t>57</w:t>
      </w:r>
      <w:r w:rsidR="00DC2013">
        <w:rPr>
          <w:rFonts w:ascii="Times New Roman" w:hAnsi="Times New Roman" w:cs="Times New Roman"/>
          <w:b/>
        </w:rPr>
        <w:t>,2</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F44778">
        <w:rPr>
          <w:rFonts w:ascii="Times New Roman" w:hAnsi="Times New Roman" w:cs="Times New Roman"/>
          <w:b/>
        </w:rPr>
        <w:t>ı kısa vadeli dış borç stoku 5</w:t>
      </w:r>
      <w:r w:rsidR="00DC2013">
        <w:rPr>
          <w:rFonts w:ascii="Times New Roman" w:hAnsi="Times New Roman" w:cs="Times New Roman"/>
          <w:b/>
        </w:rPr>
        <w:t>,6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F44778">
        <w:rPr>
          <w:rFonts w:ascii="Times New Roman" w:hAnsi="Times New Roman" w:cs="Times New Roman"/>
          <w:b/>
        </w:rPr>
        <w:t>57,1</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F44778">
        <w:rPr>
          <w:rFonts w:ascii="Times New Roman" w:hAnsi="Times New Roman" w:cs="Times New Roman"/>
        </w:rPr>
        <w:t>:Ağustos</w:t>
      </w:r>
      <w:r w:rsidR="00763473">
        <w:rPr>
          <w:rFonts w:ascii="Times New Roman" w:hAnsi="Times New Roman" w:cs="Times New Roman"/>
        </w:rPr>
        <w:t>, Milyon ABD Doları</w:t>
      </w:r>
      <w:r w:rsidR="008C0FFC">
        <w:rPr>
          <w:rFonts w:ascii="Times New Roman" w:hAnsi="Times New Roman" w:cs="Times New Roman"/>
        </w:rPr>
        <w:t>)</w:t>
      </w:r>
    </w:p>
    <w:p w:rsidR="00B22842" w:rsidRDefault="00F44778" w:rsidP="00356CFC">
      <w:pPr>
        <w:spacing w:line="240" w:lineRule="auto"/>
        <w:jc w:val="both"/>
        <w:rPr>
          <w:noProof/>
        </w:rPr>
      </w:pPr>
      <w:r w:rsidRPr="00F44778">
        <w:rPr>
          <w:noProof/>
        </w:rPr>
        <w:drawing>
          <wp:inline distT="0" distB="0" distL="0" distR="0">
            <wp:extent cx="5971878" cy="37242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880" cy="3728018"/>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DC2013">
        <w:rPr>
          <w:rFonts w:ascii="Times New Roman" w:hAnsi="Times New Roman" w:cs="Times New Roman"/>
        </w:rPr>
        <w:t>7</w:t>
      </w:r>
      <w:r w:rsidR="00F44778">
        <w:rPr>
          <w:rFonts w:ascii="Times New Roman" w:hAnsi="Times New Roman" w:cs="Times New Roman"/>
        </w:rPr>
        <w:t>,4</w:t>
      </w:r>
      <w:r w:rsidR="00DD0C6D" w:rsidRPr="008C61EB">
        <w:rPr>
          <w:rFonts w:ascii="Times New Roman" w:hAnsi="Times New Roman" w:cs="Times New Roman"/>
        </w:rPr>
        <w:t>’</w:t>
      </w:r>
      <w:r w:rsidR="00F44778">
        <w:rPr>
          <w:rFonts w:ascii="Times New Roman" w:hAnsi="Times New Roman" w:cs="Times New Roman"/>
        </w:rPr>
        <w:t>ünü</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F44778">
        <w:rPr>
          <w:rFonts w:ascii="Times New Roman" w:hAnsi="Times New Roman" w:cs="Times New Roman"/>
        </w:rPr>
        <w:t>6,5</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F44778">
        <w:rPr>
          <w:rFonts w:ascii="Times New Roman" w:hAnsi="Times New Roman" w:cs="Times New Roman"/>
        </w:rPr>
        <w:t>Ağustos</w:t>
      </w:r>
      <w:r w:rsidR="00DC2013">
        <w:rPr>
          <w:rFonts w:ascii="Times New Roman" w:hAnsi="Times New Roman" w:cs="Times New Roman"/>
        </w:rPr>
        <w:t xml:space="preserve"> ayı</w:t>
      </w:r>
      <w:r w:rsidR="00CD531D">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F44778">
        <w:rPr>
          <w:rFonts w:ascii="Times New Roman" w:hAnsi="Times New Roman" w:cs="Times New Roman"/>
        </w:rPr>
        <w:t>ık 9,5</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F44778">
        <w:rPr>
          <w:rFonts w:ascii="Times New Roman" w:hAnsi="Times New Roman" w:cs="Times New Roman"/>
        </w:rPr>
        <w:t>14,7</w:t>
      </w:r>
      <w:r w:rsidR="00DD0C6D" w:rsidRPr="008C61EB">
        <w:rPr>
          <w:rFonts w:ascii="Times New Roman" w:hAnsi="Times New Roman" w:cs="Times New Roman"/>
        </w:rPr>
        <w:t>’l</w:t>
      </w:r>
      <w:r w:rsidR="00F44778">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F44778">
        <w:rPr>
          <w:rFonts w:ascii="Times New Roman" w:hAnsi="Times New Roman" w:cs="Times New Roman"/>
        </w:rPr>
        <w:t>8,7</w:t>
      </w:r>
      <w:r w:rsidR="004731DB">
        <w:rPr>
          <w:rFonts w:ascii="Times New Roman" w:hAnsi="Times New Roman" w:cs="Times New Roman"/>
        </w:rPr>
        <w:t xml:space="preserve"> oranında,</w:t>
      </w:r>
      <w:r w:rsidR="00A52964">
        <w:rPr>
          <w:rFonts w:ascii="Times New Roman" w:hAnsi="Times New Roman" w:cs="Times New Roman"/>
        </w:rPr>
        <w:t xml:space="preserve"> </w:t>
      </w:r>
      <w:r w:rsidR="00F44778">
        <w:rPr>
          <w:rFonts w:ascii="Times New Roman" w:hAnsi="Times New Roman" w:cs="Times New Roman"/>
        </w:rPr>
        <w:t>banka mevduatları %5</w:t>
      </w:r>
      <w:r w:rsidR="004731DB">
        <w:rPr>
          <w:rFonts w:ascii="Times New Roman" w:hAnsi="Times New Roman" w:cs="Times New Roman"/>
        </w:rPr>
        <w:t xml:space="preserve"> oranında</w:t>
      </w:r>
      <w:r w:rsidR="00F44778">
        <w:rPr>
          <w:rFonts w:ascii="Times New Roman" w:hAnsi="Times New Roman" w:cs="Times New Roman"/>
        </w:rPr>
        <w:t xml:space="preserve"> artarken</w:t>
      </w:r>
      <w:r w:rsidR="004731DB">
        <w:rPr>
          <w:rFonts w:ascii="Times New Roman" w:hAnsi="Times New Roman" w:cs="Times New Roman"/>
        </w:rPr>
        <w:t>,</w:t>
      </w:r>
      <w:r w:rsidR="00B005FE">
        <w:rPr>
          <w:rFonts w:ascii="Times New Roman" w:hAnsi="Times New Roman" w:cs="Times New Roman"/>
        </w:rPr>
        <w:t xml:space="preserve"> TL cinsinden mevduatları %</w:t>
      </w:r>
      <w:r w:rsidR="00F44778">
        <w:rPr>
          <w:rFonts w:ascii="Times New Roman" w:hAnsi="Times New Roman" w:cs="Times New Roman"/>
        </w:rPr>
        <w:t>4,4</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F44778">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F44778">
        <w:rPr>
          <w:rFonts w:ascii="Times New Roman" w:hAnsi="Times New Roman" w:cs="Times New Roman"/>
        </w:rPr>
        <w:t>11</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F44778">
        <w:rPr>
          <w:rFonts w:ascii="Times New Roman" w:hAnsi="Times New Roman" w:cs="Times New Roman"/>
        </w:rPr>
        <w:t>57,1</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F44778">
        <w:rPr>
          <w:rFonts w:ascii="Times New Roman" w:hAnsi="Times New Roman" w:cs="Times New Roman"/>
        </w:rPr>
        <w:t>:Ağustos</w:t>
      </w:r>
      <w:r w:rsidR="002D3475">
        <w:rPr>
          <w:rFonts w:ascii="Times New Roman" w:hAnsi="Times New Roman" w:cs="Times New Roman"/>
        </w:rPr>
        <w:t>, Milyon ABD Doları</w:t>
      </w:r>
      <w:r w:rsidR="00323271">
        <w:rPr>
          <w:rFonts w:ascii="Times New Roman" w:hAnsi="Times New Roman" w:cs="Times New Roman"/>
        </w:rPr>
        <w:t>)</w:t>
      </w:r>
    </w:p>
    <w:p w:rsidR="00EC5A9D" w:rsidRDefault="00F44778" w:rsidP="00356CFC">
      <w:pPr>
        <w:jc w:val="both"/>
        <w:rPr>
          <w:noProof/>
        </w:rPr>
      </w:pPr>
      <w:r w:rsidRPr="00F44778">
        <w:rPr>
          <w:noProof/>
        </w:rPr>
        <w:drawing>
          <wp:inline distT="0" distB="0" distL="0" distR="0">
            <wp:extent cx="5972338" cy="2886075"/>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766" cy="2887248"/>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F44778">
        <w:rPr>
          <w:rFonts w:ascii="Times New Roman" w:hAnsi="Times New Roman" w:cs="Times New Roman"/>
        </w:rPr>
        <w:t>Ağustos</w:t>
      </w:r>
      <w:r w:rsidR="004173A7">
        <w:rPr>
          <w:rFonts w:ascii="Times New Roman" w:hAnsi="Times New Roman" w:cs="Times New Roman"/>
        </w:rPr>
        <w:t xml:space="preserve"> ayı</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F44778">
        <w:rPr>
          <w:rFonts w:ascii="Times New Roman" w:hAnsi="Times New Roman" w:cs="Times New Roman"/>
        </w:rPr>
        <w:t>1</w:t>
      </w:r>
      <w:r w:rsidR="004173A7">
        <w:rPr>
          <w:rFonts w:ascii="Times New Roman" w:hAnsi="Times New Roman" w:cs="Times New Roman"/>
        </w:rPr>
        <w:t>,9</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44778">
        <w:rPr>
          <w:rFonts w:ascii="Times New Roman" w:hAnsi="Times New Roman" w:cs="Times New Roman"/>
        </w:rPr>
        <w:t>2</w:t>
      </w:r>
      <w:r w:rsidR="00906D3D">
        <w:rPr>
          <w:rFonts w:ascii="Times New Roman" w:hAnsi="Times New Roman" w:cs="Times New Roman"/>
        </w:rPr>
        <w:t>,</w:t>
      </w:r>
      <w:r w:rsidR="00F44778">
        <w:rPr>
          <w:rFonts w:ascii="Times New Roman" w:hAnsi="Times New Roman" w:cs="Times New Roman"/>
        </w:rPr>
        <w:t>9</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F44778">
        <w:rPr>
          <w:rFonts w:ascii="Times New Roman" w:hAnsi="Times New Roman" w:cs="Times New Roman"/>
        </w:rPr>
        <w:t>vadeli dış borç stokunun %75,7</w:t>
      </w:r>
      <w:r w:rsidR="00B54FC8" w:rsidRPr="008C61EB">
        <w:rPr>
          <w:rFonts w:ascii="Times New Roman" w:hAnsi="Times New Roman" w:cs="Times New Roman"/>
        </w:rPr>
        <w:t>’</w:t>
      </w:r>
      <w:r w:rsidR="00F44778">
        <w:rPr>
          <w:rFonts w:ascii="Times New Roman" w:hAnsi="Times New Roman" w:cs="Times New Roman"/>
        </w:rPr>
        <w:t>s</w:t>
      </w:r>
      <w:r w:rsidR="005F45E8">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w:t>
      </w:r>
      <w:r w:rsidR="00F44778">
        <w:rPr>
          <w:rFonts w:ascii="Times New Roman" w:hAnsi="Times New Roman" w:cs="Times New Roman"/>
        </w:rPr>
        <w:t>ağustos</w:t>
      </w:r>
      <w:r w:rsidR="004173A7">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w:t>
      </w:r>
      <w:r w:rsidR="00F44778">
        <w:rPr>
          <w:rFonts w:ascii="Times New Roman" w:hAnsi="Times New Roman" w:cs="Times New Roman"/>
        </w:rPr>
        <w:t>6,1</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F44778">
        <w:rPr>
          <w:rFonts w:ascii="Times New Roman" w:hAnsi="Times New Roman" w:cs="Times New Roman"/>
        </w:rPr>
        <w:t>1,4</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F44778">
        <w:rPr>
          <w:rFonts w:ascii="Times New Roman" w:hAnsi="Times New Roman" w:cs="Times New Roman"/>
        </w:rPr>
        <w:t xml:space="preserve"> %38,5</w:t>
      </w:r>
      <w:r w:rsidR="009A5666">
        <w:rPr>
          <w:rFonts w:ascii="Times New Roman" w:hAnsi="Times New Roman" w:cs="Times New Roman"/>
        </w:rPr>
        <w:t>’</w:t>
      </w:r>
      <w:r w:rsidR="00F44778">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F44778">
        <w:rPr>
          <w:rFonts w:ascii="Times New Roman" w:hAnsi="Times New Roman" w:cs="Times New Roman"/>
        </w:rPr>
        <w:t>Ağustos</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F44778">
        <w:rPr>
          <w:rFonts w:ascii="Times New Roman" w:hAnsi="Times New Roman" w:cs="Times New Roman"/>
        </w:rPr>
        <w:t>4,6</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F44778">
        <w:rPr>
          <w:rFonts w:ascii="Times New Roman" w:hAnsi="Times New Roman" w:cs="Times New Roman"/>
        </w:rPr>
        <w:t>azaldığı</w:t>
      </w:r>
      <w:r w:rsidR="00984DE1">
        <w:rPr>
          <w:rFonts w:ascii="Times New Roman" w:hAnsi="Times New Roman" w:cs="Times New Roman"/>
        </w:rPr>
        <w:t xml:space="preserve"> ve 4</w:t>
      </w:r>
      <w:r w:rsidR="00F44778">
        <w:rPr>
          <w:rFonts w:ascii="Times New Roman" w:hAnsi="Times New Roman" w:cs="Times New Roman"/>
        </w:rPr>
        <w:t>6,3</w:t>
      </w:r>
      <w:r w:rsidR="006C2C84" w:rsidRPr="008C61EB">
        <w:rPr>
          <w:rFonts w:ascii="Times New Roman" w:hAnsi="Times New Roman" w:cs="Times New Roman"/>
        </w:rPr>
        <w:t xml:space="preserve"> milyar ABD dolarına </w:t>
      </w:r>
      <w:r w:rsidR="00F44778">
        <w:rPr>
          <w:rFonts w:ascii="Times New Roman" w:hAnsi="Times New Roman" w:cs="Times New Roman"/>
        </w:rPr>
        <w:t>gerilediği</w:t>
      </w:r>
      <w:r w:rsidR="004173A7">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F44778">
        <w:rPr>
          <w:rFonts w:ascii="Times New Roman" w:hAnsi="Times New Roman" w:cs="Times New Roman"/>
        </w:rPr>
        <w:t>12,9</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F44778">
        <w:rPr>
          <w:rFonts w:ascii="Times New Roman" w:hAnsi="Times New Roman" w:cs="Times New Roman"/>
        </w:rPr>
        <w:t>3,9</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F44778">
        <w:rPr>
          <w:rFonts w:ascii="Times New Roman" w:hAnsi="Times New Roman" w:cs="Times New Roman"/>
        </w:rPr>
        <w:t>Ağustos</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F44778">
        <w:rPr>
          <w:rFonts w:ascii="Times New Roman" w:hAnsi="Times New Roman" w:cs="Times New Roman"/>
        </w:rPr>
        <w:t>91</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F44778">
        <w:rPr>
          <w:rFonts w:ascii="Times New Roman" w:hAnsi="Times New Roman" w:cs="Times New Roman"/>
        </w:rPr>
        <w:t>8,1</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0F537A">
        <w:rPr>
          <w:rFonts w:ascii="Times New Roman" w:hAnsi="Times New Roman" w:cs="Times New Roman"/>
        </w:rPr>
        <w:t xml:space="preserve">Ağustos </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0F537A">
        <w:rPr>
          <w:rFonts w:ascii="Times New Roman" w:hAnsi="Times New Roman" w:cs="Times New Roman"/>
        </w:rPr>
        <w:t>9,3</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r w:rsidR="004571FD" w:rsidRPr="008C61EB">
        <w:rPr>
          <w:rFonts w:ascii="Times New Roman" w:hAnsi="Times New Roman" w:cs="Times New Roman"/>
        </w:rPr>
        <w:t>e</w:t>
      </w:r>
      <w:r w:rsidRPr="008C61EB">
        <w:rPr>
          <w:rFonts w:ascii="Times New Roman" w:hAnsi="Times New Roman" w:cs="Times New Roman"/>
        </w:rPr>
        <w:t>uro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0F537A">
        <w:rPr>
          <w:rFonts w:ascii="Times New Roman" w:hAnsi="Times New Roman" w:cs="Times New Roman"/>
        </w:rPr>
        <w:t>Ağustos</w:t>
      </w:r>
      <w:r w:rsidR="004173A7">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0F537A">
        <w:rPr>
          <w:rFonts w:ascii="Times New Roman" w:hAnsi="Times New Roman" w:cs="Times New Roman"/>
        </w:rPr>
        <w:t>%50,4</w:t>
      </w:r>
      <w:r w:rsidR="002F059B" w:rsidRPr="008C61EB">
        <w:rPr>
          <w:rFonts w:ascii="Times New Roman" w:hAnsi="Times New Roman" w:cs="Times New Roman"/>
        </w:rPr>
        <w:t>’</w:t>
      </w:r>
      <w:r w:rsidR="000F537A">
        <w:rPr>
          <w:rFonts w:ascii="Times New Roman" w:hAnsi="Times New Roman" w:cs="Times New Roman"/>
        </w:rPr>
        <w:t>ü</w:t>
      </w:r>
      <w:r w:rsidR="00D3212D">
        <w:rPr>
          <w:rFonts w:ascii="Times New Roman" w:hAnsi="Times New Roman" w:cs="Times New Roman"/>
        </w:rPr>
        <w:t xml:space="preserve"> </w:t>
      </w:r>
      <w:r w:rsidR="00342545">
        <w:rPr>
          <w:rFonts w:ascii="Times New Roman" w:hAnsi="Times New Roman" w:cs="Times New Roman"/>
        </w:rPr>
        <w:t xml:space="preserve">ABD doları, </w:t>
      </w:r>
      <w:r w:rsidR="000F537A">
        <w:rPr>
          <w:rFonts w:ascii="Times New Roman" w:hAnsi="Times New Roman" w:cs="Times New Roman"/>
        </w:rPr>
        <w:t>%30,8</w:t>
      </w:r>
      <w:r w:rsidR="004173A7">
        <w:rPr>
          <w:rFonts w:ascii="Times New Roman" w:hAnsi="Times New Roman" w:cs="Times New Roman"/>
        </w:rPr>
        <w:t>’</w:t>
      </w:r>
      <w:r w:rsidR="004731DB">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0F537A">
        <w:rPr>
          <w:rFonts w:ascii="Times New Roman" w:hAnsi="Times New Roman" w:cs="Times New Roman"/>
        </w:rPr>
        <w:t>3,1</w:t>
      </w:r>
      <w:r w:rsidR="00544E23" w:rsidRPr="008C61EB">
        <w:rPr>
          <w:rFonts w:ascii="Times New Roman" w:hAnsi="Times New Roman" w:cs="Times New Roman"/>
        </w:rPr>
        <w:t>’</w:t>
      </w:r>
      <w:r w:rsidR="004731DB">
        <w:rPr>
          <w:rFonts w:ascii="Times New Roman" w:hAnsi="Times New Roman" w:cs="Times New Roman"/>
        </w:rPr>
        <w:t>i</w:t>
      </w:r>
      <w:r w:rsidR="004571FD" w:rsidRPr="008C61EB">
        <w:rPr>
          <w:rFonts w:ascii="Times New Roman" w:hAnsi="Times New Roman" w:cs="Times New Roman"/>
        </w:rPr>
        <w:t xml:space="preserve"> TL ve %</w:t>
      </w:r>
      <w:r w:rsidR="000F537A">
        <w:rPr>
          <w:rFonts w:ascii="Times New Roman" w:hAnsi="Times New Roman" w:cs="Times New Roman"/>
        </w:rPr>
        <w:t>5,8</w:t>
      </w:r>
      <w:r w:rsidR="00952FB2">
        <w:rPr>
          <w:rFonts w:ascii="Times New Roman" w:hAnsi="Times New Roman" w:cs="Times New Roman"/>
        </w:rPr>
        <w:t>’</w:t>
      </w:r>
      <w:r w:rsidR="004731D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F537A">
        <w:rPr>
          <w:rFonts w:ascii="Times New Roman" w:hAnsi="Times New Roman" w:cs="Times New Roman"/>
        </w:rPr>
        <w:t xml:space="preserve"> Ağustos</w:t>
      </w:r>
      <w:r w:rsidR="004731DB">
        <w:rPr>
          <w:rFonts w:ascii="Times New Roman" w:hAnsi="Times New Roman" w:cs="Times New Roman"/>
        </w:rPr>
        <w:t>:</w:t>
      </w:r>
      <w:r w:rsidR="005F45E8">
        <w:rPr>
          <w:rFonts w:ascii="Times New Roman" w:hAnsi="Times New Roman" w:cs="Times New Roman"/>
        </w:rPr>
        <w:t>2019</w:t>
      </w:r>
      <w:r w:rsidR="001F4C12">
        <w:rPr>
          <w:rFonts w:ascii="Times New Roman" w:hAnsi="Times New Roman" w:cs="Times New Roman"/>
        </w:rPr>
        <w:t>)</w:t>
      </w:r>
    </w:p>
    <w:p w:rsidR="00B74E8E" w:rsidRPr="00A731EE" w:rsidRDefault="000F537A" w:rsidP="002963F9">
      <w:pPr>
        <w:jc w:val="both"/>
        <w:rPr>
          <w:rFonts w:ascii="Times New Roman" w:hAnsi="Times New Roman" w:cs="Times New Roman"/>
        </w:rPr>
      </w:pPr>
      <w:r w:rsidRPr="000F537A">
        <w:rPr>
          <w:noProof/>
        </w:rPr>
        <w:drawing>
          <wp:inline distT="0" distB="0" distL="0" distR="0">
            <wp:extent cx="6132952" cy="26384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617" cy="2648176"/>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rPr>
          <w:rFonts w:ascii="Times New Roman" w:hAnsi="Times New Roman" w:cs="Times New Roman"/>
        </w:rPr>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0F537A">
        <w:rPr>
          <w:rFonts w:ascii="Times New Roman" w:hAnsi="Times New Roman" w:cs="Times New Roman"/>
        </w:rPr>
        <w:t>Ağustos</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4173A7">
        <w:rPr>
          <w:rFonts w:ascii="Times New Roman" w:hAnsi="Times New Roman" w:cs="Times New Roman"/>
        </w:rPr>
        <w:t>2</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0F537A">
        <w:rPr>
          <w:rFonts w:ascii="Times New Roman" w:hAnsi="Times New Roman" w:cs="Times New Roman"/>
        </w:rPr>
        <w:t>33</w:t>
      </w:r>
      <w:r w:rsidR="00BE5D6A" w:rsidRPr="008C61EB">
        <w:rPr>
          <w:rFonts w:ascii="Times New Roman" w:hAnsi="Times New Roman" w:cs="Times New Roman"/>
        </w:rPr>
        <w:t>’</w:t>
      </w:r>
      <w:r w:rsidR="000F537A">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0F537A">
        <w:rPr>
          <w:rFonts w:ascii="Times New Roman" w:hAnsi="Times New Roman" w:cs="Times New Roman"/>
        </w:rPr>
        <w:t>19,5</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0F537A">
        <w:rPr>
          <w:rFonts w:ascii="Times New Roman" w:hAnsi="Times New Roman" w:cs="Times New Roman"/>
        </w:rPr>
        <w:t>77,9</w:t>
      </w:r>
      <w:r w:rsidR="00BE5D6A" w:rsidRPr="008C61EB">
        <w:rPr>
          <w:rFonts w:ascii="Times New Roman" w:hAnsi="Times New Roman" w:cs="Times New Roman"/>
        </w:rPr>
        <w:t>’l</w:t>
      </w:r>
      <w:r w:rsidR="000F537A">
        <w:rPr>
          <w:rFonts w:ascii="Times New Roman" w:hAnsi="Times New Roman" w:cs="Times New Roman"/>
        </w:rPr>
        <w:t>u</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0F537A">
        <w:rPr>
          <w:rFonts w:ascii="Times New Roman" w:hAnsi="Times New Roman" w:cs="Times New Roman"/>
        </w:rPr>
        <w:t>8,4</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0F537A">
        <w:rPr>
          <w:rFonts w:ascii="Times New Roman" w:hAnsi="Times New Roman" w:cs="Times New Roman"/>
        </w:rPr>
        <w:t>7</w:t>
      </w:r>
      <w:r w:rsidR="00BC116D" w:rsidRPr="008C61EB">
        <w:rPr>
          <w:rFonts w:ascii="Times New Roman" w:hAnsi="Times New Roman" w:cs="Times New Roman"/>
        </w:rPr>
        <w:t>’</w:t>
      </w:r>
      <w:r w:rsidR="000F537A">
        <w:rPr>
          <w:rFonts w:ascii="Times New Roman" w:hAnsi="Times New Roman" w:cs="Times New Roman"/>
        </w:rPr>
        <w:t>di</w:t>
      </w:r>
      <w:r w:rsidR="005F45E8">
        <w:rPr>
          <w:rFonts w:ascii="Times New Roman" w:hAnsi="Times New Roman" w:cs="Times New Roman"/>
        </w:rPr>
        <w:t>r</w:t>
      </w:r>
      <w:r w:rsidR="00D875DB" w:rsidRPr="008C61EB">
        <w:rPr>
          <w:rFonts w:ascii="Times New Roman" w:hAnsi="Times New Roman" w:cs="Times New Roman"/>
        </w:rPr>
        <w:t>.</w:t>
      </w:r>
    </w:p>
    <w:p w:rsidR="00D42B53" w:rsidRPr="00D42B53" w:rsidRDefault="00D42B53" w:rsidP="00D42B53">
      <w:pPr>
        <w:pStyle w:val="NormalWeb"/>
        <w:jc w:val="both"/>
        <w:rPr>
          <w:color w:val="000000"/>
          <w:sz w:val="22"/>
          <w:szCs w:val="27"/>
        </w:rPr>
      </w:pPr>
      <w:r w:rsidRPr="00D42B53">
        <w:rPr>
          <w:color w:val="000000"/>
          <w:sz w:val="22"/>
          <w:szCs w:val="27"/>
        </w:rPr>
        <w:t>Akademik Danışman Görüşü</w:t>
      </w:r>
    </w:p>
    <w:p w:rsidR="00D42B53" w:rsidRPr="00D42B53" w:rsidRDefault="00D42B53" w:rsidP="00D42B53">
      <w:pPr>
        <w:pStyle w:val="NormalWeb"/>
        <w:jc w:val="both"/>
        <w:rPr>
          <w:color w:val="000000"/>
          <w:sz w:val="22"/>
          <w:szCs w:val="27"/>
        </w:rPr>
      </w:pPr>
      <w:r>
        <w:rPr>
          <w:color w:val="000000"/>
          <w:sz w:val="22"/>
          <w:szCs w:val="27"/>
        </w:rPr>
        <w:t>Ülkemizde son 5</w:t>
      </w:r>
      <w:r w:rsidRPr="00D42B53">
        <w:rPr>
          <w:color w:val="000000"/>
          <w:sz w:val="22"/>
          <w:szCs w:val="27"/>
        </w:rPr>
        <w:t xml:space="preserve"> yıldır kısa vadeli dış borç stoklarında duraklama yaşanmaktadır. Ancak 2019 yılının </w:t>
      </w:r>
      <w:r>
        <w:rPr>
          <w:color w:val="000000"/>
          <w:sz w:val="22"/>
          <w:szCs w:val="27"/>
        </w:rPr>
        <w:t>Ağustos</w:t>
      </w:r>
      <w:r w:rsidRPr="00D42B53">
        <w:rPr>
          <w:color w:val="000000"/>
          <w:sz w:val="22"/>
          <w:szCs w:val="27"/>
        </w:rPr>
        <w:t xml:space="preserve"> raporuna bakacak olursak son dönemde kısa vadeli dış borçta kısmi bi</w:t>
      </w:r>
      <w:r>
        <w:rPr>
          <w:color w:val="000000"/>
          <w:sz w:val="22"/>
          <w:szCs w:val="27"/>
        </w:rPr>
        <w:t>r yükseliş meydana gelmiş ve 120</w:t>
      </w:r>
      <w:r w:rsidRPr="00D42B53">
        <w:rPr>
          <w:color w:val="000000"/>
          <w:sz w:val="22"/>
          <w:szCs w:val="27"/>
        </w:rPr>
        <w:t xml:space="preserve"> milyar dolara ulaşmıştır. Ülkemizdeki dış borç stoku borçlu bazında düşünüldüğünde bu borcun büyük kısmının özel sektör borcu olduğu görülmektedir. Diğer sektörlerin yurt dışından sağladığı kısa vadeli borçlar ise son 3 yıldır gittikçe artmaktadır. Kısa vadeli dış borç stokunun döviz kompozisyonu incelendiğinde ABD dolarının ağırlıklı olduğunu görmekteyiz. Ekonomide sağlıklı bir büyümeyi temin edebilmek için borçlanmanın vadesini mümkün olduğunca uzun tutabilmek gerekir. Özellikle sermaye yatırımları için uzun vadeli ve düşük faizli dış borçlanmayı sağlayabilmek gerekir.</w:t>
      </w:r>
    </w:p>
    <w:p w:rsidR="00D42B53" w:rsidRDefault="00D42B53" w:rsidP="00D42B53">
      <w:pPr>
        <w:pStyle w:val="NormalWeb"/>
        <w:ind w:left="5760"/>
        <w:jc w:val="both"/>
      </w:pPr>
      <w:r>
        <w:rPr>
          <w:color w:val="000000"/>
          <w:sz w:val="22"/>
          <w:szCs w:val="27"/>
        </w:rPr>
        <w:t xml:space="preserve">          </w:t>
      </w:r>
      <w:r w:rsidRPr="00D42B53">
        <w:rPr>
          <w:color w:val="000000"/>
          <w:sz w:val="22"/>
          <w:szCs w:val="27"/>
        </w:rPr>
        <w:t>Dr. Öğr. Üyesi Alperen M. YİĞİT</w:t>
      </w:r>
    </w:p>
    <w:sectPr w:rsidR="00D42B53"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56" w:rsidRDefault="00AA1C56" w:rsidP="004A23EE">
      <w:pPr>
        <w:spacing w:after="0" w:line="240" w:lineRule="auto"/>
      </w:pPr>
      <w:r>
        <w:separator/>
      </w:r>
    </w:p>
  </w:endnote>
  <w:endnote w:type="continuationSeparator" w:id="0">
    <w:p w:rsidR="00AA1C56" w:rsidRDefault="00AA1C56"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D36A05">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56" w:rsidRDefault="00AA1C56" w:rsidP="004A23EE">
      <w:pPr>
        <w:spacing w:after="0" w:line="240" w:lineRule="auto"/>
      </w:pPr>
      <w:r>
        <w:separator/>
      </w:r>
    </w:p>
  </w:footnote>
  <w:footnote w:type="continuationSeparator" w:id="0">
    <w:p w:rsidR="00AA1C56" w:rsidRDefault="00AA1C56"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0F537A"/>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21CE"/>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173A7"/>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400F"/>
    <w:rsid w:val="00A95DD9"/>
    <w:rsid w:val="00A97D78"/>
    <w:rsid w:val="00AA1C56"/>
    <w:rsid w:val="00AA7B75"/>
    <w:rsid w:val="00AB4A0A"/>
    <w:rsid w:val="00AC652E"/>
    <w:rsid w:val="00AD18B4"/>
    <w:rsid w:val="00AD2065"/>
    <w:rsid w:val="00AE3004"/>
    <w:rsid w:val="00AF5995"/>
    <w:rsid w:val="00B005FE"/>
    <w:rsid w:val="00B01F5A"/>
    <w:rsid w:val="00B050FE"/>
    <w:rsid w:val="00B170E0"/>
    <w:rsid w:val="00B21336"/>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0573"/>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36A05"/>
    <w:rsid w:val="00D42B53"/>
    <w:rsid w:val="00D42BC6"/>
    <w:rsid w:val="00D45883"/>
    <w:rsid w:val="00D46E04"/>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44778"/>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 w:type="paragraph" w:styleId="NormalWeb">
    <w:name w:val="Normal (Web)"/>
    <w:basedOn w:val="Normal"/>
    <w:uiPriority w:val="99"/>
    <w:unhideWhenUsed/>
    <w:rsid w:val="00D42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 w:id="20249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03ACF-2AB4-46F5-A298-036A4733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2019-08-21T09:30:00Z</cp:lastPrinted>
  <dcterms:created xsi:type="dcterms:W3CDTF">2019-11-04T05:26:00Z</dcterms:created>
  <dcterms:modified xsi:type="dcterms:W3CDTF">2019-11-04T05:26:00Z</dcterms:modified>
</cp:coreProperties>
</file>