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3"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753"/>
        <w:gridCol w:w="3288"/>
      </w:tblGrid>
      <w:tr w:rsidR="00BA0AF0" w:rsidTr="007C6923">
        <w:trPr>
          <w:trHeight w:val="737"/>
        </w:trPr>
        <w:tc>
          <w:tcPr>
            <w:tcW w:w="5754" w:type="dxa"/>
            <w:vAlign w:val="center"/>
          </w:tcPr>
          <w:p w:rsidR="00BA0AF0" w:rsidRDefault="000F4388" w:rsidP="003A2471">
            <w:pPr>
              <w:pStyle w:val="stbilgi"/>
              <w:jc w:val="right"/>
              <w:rPr>
                <w:rFonts w:asciiTheme="majorHAnsi" w:eastAsiaTheme="majorEastAsia" w:hAnsiTheme="majorHAnsi" w:cstheme="majorBidi"/>
                <w:sz w:val="36"/>
                <w:szCs w:val="36"/>
              </w:rPr>
            </w:pPr>
            <w:bookmarkStart w:id="0" w:name="_GoBack"/>
            <w:bookmarkEnd w:id="0"/>
            <w:r w:rsidRPr="00E15504">
              <w:rPr>
                <w:rFonts w:eastAsiaTheme="majorEastAsia" w:cs="Times New Roman"/>
                <w:sz w:val="36"/>
                <w:szCs w:val="36"/>
              </w:rPr>
              <w:t>201</w:t>
            </w:r>
            <w:r w:rsidR="00572182" w:rsidRPr="00E15504">
              <w:rPr>
                <w:rFonts w:eastAsiaTheme="majorEastAsia" w:cs="Times New Roman"/>
                <w:sz w:val="36"/>
                <w:szCs w:val="36"/>
              </w:rPr>
              <w:t>9</w:t>
            </w:r>
            <w:r w:rsidR="00DB377B" w:rsidRPr="00E15504">
              <w:rPr>
                <w:rFonts w:eastAsiaTheme="majorEastAsia" w:cs="Times New Roman"/>
                <w:sz w:val="36"/>
                <w:szCs w:val="36"/>
              </w:rPr>
              <w:t xml:space="preserve"> </w:t>
            </w:r>
            <w:r w:rsidR="003A2471">
              <w:rPr>
                <w:rFonts w:eastAsiaTheme="majorEastAsia" w:cs="Times New Roman"/>
                <w:sz w:val="36"/>
                <w:szCs w:val="36"/>
              </w:rPr>
              <w:t>Ekim</w:t>
            </w:r>
            <w:r w:rsidR="007C6923">
              <w:rPr>
                <w:rFonts w:eastAsiaTheme="majorEastAsia" w:cs="Times New Roman"/>
                <w:sz w:val="36"/>
                <w:szCs w:val="36"/>
              </w:rPr>
              <w:br/>
            </w:r>
            <w:r w:rsidR="00472839" w:rsidRPr="00E15504">
              <w:rPr>
                <w:rFonts w:eastAsiaTheme="majorEastAsia" w:cs="Times New Roman"/>
                <w:sz w:val="36"/>
                <w:szCs w:val="36"/>
              </w:rPr>
              <w:t>SEKTÖREL</w:t>
            </w:r>
            <w:r w:rsidR="00DB0FFC" w:rsidRPr="00E15504">
              <w:rPr>
                <w:rFonts w:eastAsiaTheme="majorEastAsia" w:cs="Times New Roman"/>
                <w:sz w:val="36"/>
                <w:szCs w:val="36"/>
              </w:rPr>
              <w:t xml:space="preserve"> GÜVEN ENDEKSLER</w:t>
            </w:r>
            <w:r w:rsidR="00BA0AF0" w:rsidRPr="00E15504">
              <w:rPr>
                <w:rFonts w:eastAsiaTheme="majorEastAsia" w:cs="Times New Roman"/>
                <w:sz w:val="36"/>
                <w:szCs w:val="36"/>
              </w:rPr>
              <w:t>İ</w:t>
            </w:r>
          </w:p>
        </w:tc>
        <w:tc>
          <w:tcPr>
            <w:tcW w:w="3288" w:type="dxa"/>
          </w:tcPr>
          <w:p w:rsidR="00BA0AF0" w:rsidRDefault="001A7020" w:rsidP="003A2471">
            <w:pPr>
              <w:pStyle w:val="stbilgi"/>
              <w:spacing w:line="276" w:lineRule="auto"/>
              <w:jc w:val="center"/>
              <w:rPr>
                <w:rFonts w:asciiTheme="majorHAnsi" w:eastAsiaTheme="majorEastAsia" w:hAnsiTheme="majorHAnsi" w:cstheme="majorBidi"/>
                <w:b/>
                <w:bCs/>
                <w:color w:val="4F81BD" w:themeColor="accent1"/>
                <w:sz w:val="36"/>
                <w:szCs w:val="36"/>
              </w:rPr>
            </w:pPr>
            <w:r w:rsidRPr="00CC622A">
              <w:rPr>
                <w:rFonts w:eastAsiaTheme="majorEastAsia" w:cs="Times New Roman"/>
                <w:bCs/>
                <w:szCs w:val="36"/>
              </w:rPr>
              <w:t>2</w:t>
            </w:r>
            <w:r w:rsidR="003A2471">
              <w:rPr>
                <w:rFonts w:eastAsiaTheme="majorEastAsia" w:cs="Times New Roman"/>
                <w:bCs/>
                <w:szCs w:val="36"/>
              </w:rPr>
              <w:t>5</w:t>
            </w:r>
            <w:r w:rsidR="00572182" w:rsidRPr="00CC622A">
              <w:rPr>
                <w:rFonts w:eastAsiaTheme="majorEastAsia" w:cs="Times New Roman"/>
                <w:bCs/>
                <w:szCs w:val="36"/>
              </w:rPr>
              <w:t xml:space="preserve"> </w:t>
            </w:r>
            <w:r w:rsidR="003A2471">
              <w:rPr>
                <w:rFonts w:eastAsiaTheme="majorEastAsia" w:cs="Times New Roman"/>
                <w:bCs/>
                <w:szCs w:val="36"/>
              </w:rPr>
              <w:t>Ekim</w:t>
            </w:r>
            <w:r w:rsidR="00C00636" w:rsidRPr="00CC622A">
              <w:rPr>
                <w:rFonts w:eastAsiaTheme="majorEastAsia" w:cs="Times New Roman"/>
                <w:bCs/>
                <w:szCs w:val="36"/>
              </w:rPr>
              <w:t xml:space="preserve"> </w:t>
            </w:r>
            <w:r w:rsidR="00041E14" w:rsidRPr="00CC622A">
              <w:rPr>
                <w:rFonts w:eastAsiaTheme="majorEastAsia" w:cs="Times New Roman"/>
                <w:bCs/>
                <w:szCs w:val="36"/>
              </w:rPr>
              <w:t>201</w:t>
            </w:r>
            <w:r w:rsidR="00572182" w:rsidRPr="00CC622A">
              <w:rPr>
                <w:rFonts w:eastAsiaTheme="majorEastAsia" w:cs="Times New Roman"/>
                <w:bCs/>
                <w:szCs w:val="36"/>
              </w:rPr>
              <w:t>9</w:t>
            </w:r>
            <w:r w:rsidR="007041D2">
              <w:rPr>
                <w:rFonts w:eastAsiaTheme="majorEastAsia" w:cs="Times New Roman"/>
                <w:bCs/>
                <w:szCs w:val="36"/>
              </w:rPr>
              <w:t xml:space="preserve"> </w:t>
            </w:r>
            <w:r w:rsidR="00BA0AF0">
              <w:rPr>
                <w:rFonts w:asciiTheme="majorHAnsi" w:eastAsiaTheme="majorEastAsia" w:hAnsiTheme="majorHAnsi" w:cstheme="majorBidi"/>
                <w:b/>
                <w:bCs/>
                <w:noProof/>
                <w:color w:val="4F81BD" w:themeColor="accent1"/>
                <w:sz w:val="36"/>
                <w:szCs w:val="36"/>
              </w:rPr>
              <w:drawing>
                <wp:inline distT="0" distB="0" distL="0" distR="0" wp14:anchorId="2868B026" wp14:editId="533A5880">
                  <wp:extent cx="849663" cy="507654"/>
                  <wp:effectExtent l="0" t="0" r="7620" b="6985"/>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409" cy="511087"/>
                          </a:xfrm>
                          <a:prstGeom prst="rect">
                            <a:avLst/>
                          </a:prstGeom>
                          <a:noFill/>
                          <a:ln>
                            <a:noFill/>
                          </a:ln>
                        </pic:spPr>
                      </pic:pic>
                    </a:graphicData>
                  </a:graphic>
                </wp:inline>
              </w:drawing>
            </w:r>
          </w:p>
        </w:tc>
      </w:tr>
    </w:tbl>
    <w:p w:rsidR="00BA0AF0" w:rsidRPr="00E15504" w:rsidRDefault="003A2471" w:rsidP="00E15504">
      <w:pPr>
        <w:rPr>
          <w:b/>
        </w:rPr>
      </w:pPr>
      <w:r>
        <w:rPr>
          <w:b/>
        </w:rPr>
        <w:t>Ekim</w:t>
      </w:r>
      <w:r w:rsidR="00BA0AF0" w:rsidRPr="00E15504">
        <w:rPr>
          <w:b/>
        </w:rPr>
        <w:t xml:space="preserve"> ayı </w:t>
      </w:r>
      <w:r w:rsidR="00472839" w:rsidRPr="00E15504">
        <w:rPr>
          <w:rFonts w:eastAsia="Times New Roman"/>
          <w:b/>
          <w:bCs/>
        </w:rPr>
        <w:t>i</w:t>
      </w:r>
      <w:r w:rsidR="00BA0AF0" w:rsidRPr="00E15504">
        <w:rPr>
          <w:rFonts w:eastAsia="Times New Roman"/>
          <w:b/>
          <w:bCs/>
        </w:rPr>
        <w:t xml:space="preserve">nşaat </w:t>
      </w:r>
      <w:r w:rsidR="00472839" w:rsidRPr="00E15504">
        <w:rPr>
          <w:rFonts w:eastAsia="Times New Roman"/>
          <w:b/>
          <w:bCs/>
        </w:rPr>
        <w:t>ve hizmet sektörü güven endeksleri</w:t>
      </w:r>
      <w:r w:rsidR="00BA0AF0" w:rsidRPr="00E15504">
        <w:rPr>
          <w:rFonts w:eastAsia="Times New Roman"/>
          <w:b/>
          <w:bCs/>
        </w:rPr>
        <w:t xml:space="preserve"> </w:t>
      </w:r>
      <w:r w:rsidR="00BA0AF0" w:rsidRPr="00E15504">
        <w:rPr>
          <w:b/>
        </w:rPr>
        <w:t xml:space="preserve">TÜİK tarafından </w:t>
      </w:r>
      <w:r w:rsidR="005F1E22">
        <w:rPr>
          <w:b/>
        </w:rPr>
        <w:t>2</w:t>
      </w:r>
      <w:r>
        <w:rPr>
          <w:b/>
        </w:rPr>
        <w:t>5</w:t>
      </w:r>
      <w:r w:rsidR="005F1E22">
        <w:rPr>
          <w:b/>
        </w:rPr>
        <w:t xml:space="preserve"> </w:t>
      </w:r>
      <w:r>
        <w:rPr>
          <w:b/>
        </w:rPr>
        <w:t>Ekim</w:t>
      </w:r>
      <w:r w:rsidR="00572182" w:rsidRPr="00E15504">
        <w:rPr>
          <w:b/>
        </w:rPr>
        <w:t xml:space="preserve"> 2019</w:t>
      </w:r>
      <w:r w:rsidR="00BA0AF0" w:rsidRPr="00E15504">
        <w:rPr>
          <w:b/>
        </w:rPr>
        <w:t xml:space="preserve"> tarihinde yayımlandı. </w:t>
      </w:r>
    </w:p>
    <w:p w:rsidR="00472839" w:rsidRPr="004B05D2" w:rsidRDefault="00472839" w:rsidP="00472839">
      <w:pPr>
        <w:pStyle w:val="Balk2"/>
        <w:rPr>
          <w:rFonts w:cs="Times New Roman"/>
        </w:rPr>
      </w:pPr>
      <w:r w:rsidRPr="004B05D2">
        <w:rPr>
          <w:rFonts w:cs="Times New Roman"/>
        </w:rPr>
        <w:t>İnşaat sektörü güven endeksi</w:t>
      </w:r>
    </w:p>
    <w:p w:rsidR="00BA0AF0" w:rsidRDefault="0094387A" w:rsidP="00BA0AF0">
      <w:pPr>
        <w:rPr>
          <w:rFonts w:cs="Times New Roman"/>
        </w:rPr>
      </w:pPr>
      <w:r>
        <w:rPr>
          <w:rFonts w:cs="Times New Roman"/>
        </w:rPr>
        <w:t>201</w:t>
      </w:r>
      <w:r w:rsidR="006708A6">
        <w:rPr>
          <w:rFonts w:cs="Times New Roman"/>
        </w:rPr>
        <w:t>9</w:t>
      </w:r>
      <w:r w:rsidR="00C03663">
        <w:rPr>
          <w:rFonts w:cs="Times New Roman"/>
        </w:rPr>
        <w:t xml:space="preserve"> yılı</w:t>
      </w:r>
      <w:r w:rsidR="004845D3">
        <w:rPr>
          <w:rFonts w:cs="Times New Roman"/>
        </w:rPr>
        <w:t xml:space="preserve"> </w:t>
      </w:r>
      <w:r w:rsidR="003A2471">
        <w:rPr>
          <w:rFonts w:cs="Times New Roman"/>
        </w:rPr>
        <w:t>Eylül</w:t>
      </w:r>
      <w:r w:rsidR="00BA0AF0" w:rsidRPr="00472839">
        <w:rPr>
          <w:rFonts w:cs="Times New Roman"/>
        </w:rPr>
        <w:t xml:space="preserve"> ayında </w:t>
      </w:r>
      <w:r w:rsidR="003A2471">
        <w:rPr>
          <w:rFonts w:cs="Times New Roman"/>
        </w:rPr>
        <w:t>60,1</w:t>
      </w:r>
      <w:r w:rsidR="00C00636">
        <w:rPr>
          <w:rFonts w:cs="Times New Roman"/>
        </w:rPr>
        <w:t xml:space="preserve"> </w:t>
      </w:r>
      <w:r w:rsidR="00BA0AF0" w:rsidRPr="00472839">
        <w:rPr>
          <w:rFonts w:cs="Times New Roman"/>
        </w:rPr>
        <w:t xml:space="preserve">olan mevsim etkilerinden arındırılmış inşaat sektörü güven endeksi, </w:t>
      </w:r>
      <w:r w:rsidR="006B7D58">
        <w:rPr>
          <w:rFonts w:cs="Times New Roman"/>
        </w:rPr>
        <w:t>201</w:t>
      </w:r>
      <w:r w:rsidR="0025520C">
        <w:rPr>
          <w:rFonts w:cs="Times New Roman"/>
        </w:rPr>
        <w:t>9</w:t>
      </w:r>
      <w:r w:rsidR="006B7D58">
        <w:rPr>
          <w:rFonts w:cs="Times New Roman"/>
        </w:rPr>
        <w:t xml:space="preserve"> yılı </w:t>
      </w:r>
      <w:r w:rsidR="003A2471">
        <w:rPr>
          <w:rFonts w:cs="Times New Roman"/>
        </w:rPr>
        <w:t>Ekim</w:t>
      </w:r>
      <w:r w:rsidR="00B47BBE">
        <w:rPr>
          <w:rFonts w:cs="Times New Roman"/>
        </w:rPr>
        <w:t xml:space="preserve"> </w:t>
      </w:r>
      <w:r w:rsidR="00B36193">
        <w:rPr>
          <w:rFonts w:cs="Times New Roman"/>
        </w:rPr>
        <w:t xml:space="preserve">ayında </w:t>
      </w:r>
      <w:r w:rsidR="003A2471">
        <w:rPr>
          <w:rFonts w:cs="Times New Roman"/>
        </w:rPr>
        <w:t>5,0</w:t>
      </w:r>
      <w:r w:rsidR="006708A6">
        <w:rPr>
          <w:rFonts w:cs="Times New Roman"/>
        </w:rPr>
        <w:t xml:space="preserve"> </w:t>
      </w:r>
      <w:r w:rsidR="0016388F">
        <w:rPr>
          <w:rFonts w:cs="Times New Roman"/>
        </w:rPr>
        <w:t>puan</w:t>
      </w:r>
      <w:r w:rsidR="001418C7">
        <w:rPr>
          <w:rFonts w:cs="Times New Roman"/>
        </w:rPr>
        <w:t xml:space="preserve"> </w:t>
      </w:r>
      <w:r w:rsidR="00D3178E">
        <w:rPr>
          <w:rFonts w:cs="Times New Roman"/>
        </w:rPr>
        <w:t>a</w:t>
      </w:r>
      <w:r w:rsidR="001A3547">
        <w:rPr>
          <w:rFonts w:cs="Times New Roman"/>
        </w:rPr>
        <w:t>rt</w:t>
      </w:r>
      <w:r w:rsidR="00D3178E">
        <w:rPr>
          <w:rFonts w:cs="Times New Roman"/>
        </w:rPr>
        <w:t>arak</w:t>
      </w:r>
      <w:r w:rsidR="002D413C">
        <w:rPr>
          <w:rFonts w:cs="Times New Roman"/>
        </w:rPr>
        <w:t xml:space="preserve"> </w:t>
      </w:r>
      <w:r w:rsidR="003A2471">
        <w:rPr>
          <w:rFonts w:cs="Times New Roman"/>
        </w:rPr>
        <w:t>6</w:t>
      </w:r>
      <w:r w:rsidR="004638D6">
        <w:rPr>
          <w:rFonts w:cs="Times New Roman"/>
        </w:rPr>
        <w:t>5</w:t>
      </w:r>
      <w:r w:rsidR="001A3547">
        <w:rPr>
          <w:rFonts w:cs="Times New Roman"/>
        </w:rPr>
        <w:t>,</w:t>
      </w:r>
      <w:r w:rsidR="003A2471">
        <w:rPr>
          <w:rFonts w:cs="Times New Roman"/>
        </w:rPr>
        <w:t>1</w:t>
      </w:r>
      <w:r w:rsidR="006B7D58">
        <w:rPr>
          <w:rFonts w:cs="Times New Roman"/>
        </w:rPr>
        <w:t xml:space="preserve"> değerine </w:t>
      </w:r>
      <w:r w:rsidR="001A3547">
        <w:rPr>
          <w:rFonts w:cs="Times New Roman"/>
        </w:rPr>
        <w:t>yükselmiştir</w:t>
      </w:r>
      <w:r w:rsidR="00BA0AF0" w:rsidRPr="00472839">
        <w:rPr>
          <w:rFonts w:cs="Times New Roman"/>
        </w:rPr>
        <w:t xml:space="preserve">. </w:t>
      </w:r>
      <w:r w:rsidR="003E7ABA" w:rsidRPr="00472839">
        <w:rPr>
          <w:rFonts w:cs="Times New Roman"/>
        </w:rPr>
        <w:t>Bir önceki</w:t>
      </w:r>
      <w:r w:rsidR="00B36193">
        <w:rPr>
          <w:rFonts w:cs="Times New Roman"/>
        </w:rPr>
        <w:t xml:space="preserve"> y</w:t>
      </w:r>
      <w:r w:rsidR="00646E04">
        <w:rPr>
          <w:rFonts w:cs="Times New Roman"/>
        </w:rPr>
        <w:t xml:space="preserve">ılın aynı dönemine göre ise </w:t>
      </w:r>
      <w:r w:rsidR="003A2471">
        <w:rPr>
          <w:rFonts w:cs="Times New Roman"/>
        </w:rPr>
        <w:t>58,7</w:t>
      </w:r>
      <w:r w:rsidR="006C4AB5">
        <w:rPr>
          <w:rFonts w:cs="Times New Roman"/>
        </w:rPr>
        <w:t xml:space="preserve"> </w:t>
      </w:r>
      <w:r w:rsidR="003E7ABA" w:rsidRPr="00472839">
        <w:rPr>
          <w:rFonts w:cs="Times New Roman"/>
        </w:rPr>
        <w:t xml:space="preserve">puan olan </w:t>
      </w:r>
      <w:r w:rsidR="003A2471">
        <w:rPr>
          <w:rFonts w:cs="Times New Roman"/>
        </w:rPr>
        <w:t>inşaat sektörü güven endeksi 6,5</w:t>
      </w:r>
      <w:r w:rsidR="003E7ABA" w:rsidRPr="00472839">
        <w:rPr>
          <w:rFonts w:cs="Times New Roman"/>
        </w:rPr>
        <w:t xml:space="preserve"> puan </w:t>
      </w:r>
      <w:r w:rsidR="00B70A60">
        <w:rPr>
          <w:rFonts w:cs="Times New Roman"/>
        </w:rPr>
        <w:t>yükselere</w:t>
      </w:r>
      <w:r w:rsidR="00414417">
        <w:rPr>
          <w:rFonts w:cs="Times New Roman"/>
        </w:rPr>
        <w:t>k</w:t>
      </w:r>
      <w:r w:rsidR="003E7ABA" w:rsidRPr="00472839">
        <w:rPr>
          <w:rFonts w:cs="Times New Roman"/>
        </w:rPr>
        <w:t xml:space="preserve"> yü</w:t>
      </w:r>
      <w:r w:rsidR="00B36193">
        <w:rPr>
          <w:rFonts w:cs="Times New Roman"/>
        </w:rPr>
        <w:t>zde</w:t>
      </w:r>
      <w:r w:rsidR="005E0AFC">
        <w:rPr>
          <w:rFonts w:cs="Times New Roman"/>
        </w:rPr>
        <w:t xml:space="preserve"> </w:t>
      </w:r>
      <w:r w:rsidR="004638D6">
        <w:rPr>
          <w:rFonts w:cs="Times New Roman"/>
        </w:rPr>
        <w:t>1</w:t>
      </w:r>
      <w:r w:rsidR="003A2471">
        <w:rPr>
          <w:rFonts w:cs="Times New Roman"/>
        </w:rPr>
        <w:t>1</w:t>
      </w:r>
      <w:r w:rsidR="004638D6">
        <w:rPr>
          <w:rFonts w:cs="Times New Roman"/>
        </w:rPr>
        <w:t>,</w:t>
      </w:r>
      <w:r w:rsidR="003A2471">
        <w:rPr>
          <w:rFonts w:cs="Times New Roman"/>
        </w:rPr>
        <w:t>1</w:t>
      </w:r>
      <w:r w:rsidR="006C4AB5">
        <w:rPr>
          <w:rFonts w:cs="Times New Roman"/>
        </w:rPr>
        <w:t xml:space="preserve"> </w:t>
      </w:r>
      <w:r w:rsidR="003E7ABA" w:rsidRPr="00472839">
        <w:rPr>
          <w:rFonts w:cs="Times New Roman"/>
        </w:rPr>
        <w:t xml:space="preserve">oranında </w:t>
      </w:r>
      <w:r w:rsidR="003A2471">
        <w:rPr>
          <w:rFonts w:cs="Times New Roman"/>
        </w:rPr>
        <w:t>artmıştı</w:t>
      </w:r>
      <w:r w:rsidR="001418C7">
        <w:rPr>
          <w:rFonts w:cs="Times New Roman"/>
        </w:rPr>
        <w:t>r</w:t>
      </w:r>
      <w:r w:rsidR="00DB71E1">
        <w:rPr>
          <w:rFonts w:cs="Times New Roman"/>
        </w:rPr>
        <w:t>.</w:t>
      </w:r>
    </w:p>
    <w:p w:rsidR="00E22179" w:rsidRPr="0071356F" w:rsidRDefault="00E22179" w:rsidP="00BA0AF0">
      <w:pPr>
        <w:rPr>
          <w:rFonts w:cs="Times New Roman"/>
        </w:rPr>
      </w:pPr>
      <w:r w:rsidRPr="002B5EAF">
        <w:rPr>
          <w:rFonts w:cs="Times New Roman"/>
        </w:rPr>
        <w:t>Mevsimlikten arındırılmamış inşaat sektörü g</w:t>
      </w:r>
      <w:r w:rsidR="004B05D2">
        <w:rPr>
          <w:rFonts w:cs="Times New Roman"/>
        </w:rPr>
        <w:t>üven endeksine bakıldığında ise</w:t>
      </w:r>
      <w:r w:rsidRPr="002B5EAF">
        <w:rPr>
          <w:rFonts w:cs="Times New Roman"/>
        </w:rPr>
        <w:t xml:space="preserve"> 201</w:t>
      </w:r>
      <w:r w:rsidR="008F2939">
        <w:rPr>
          <w:rFonts w:cs="Times New Roman"/>
        </w:rPr>
        <w:t>9</w:t>
      </w:r>
      <w:r w:rsidRPr="002B5EAF">
        <w:rPr>
          <w:rFonts w:cs="Times New Roman"/>
        </w:rPr>
        <w:t xml:space="preserve"> yılı </w:t>
      </w:r>
      <w:r w:rsidR="004511CC">
        <w:rPr>
          <w:rFonts w:cs="Times New Roman"/>
        </w:rPr>
        <w:t xml:space="preserve">Ekim </w:t>
      </w:r>
      <w:r w:rsidR="00646E04">
        <w:rPr>
          <w:rFonts w:cs="Times New Roman"/>
        </w:rPr>
        <w:t>a</w:t>
      </w:r>
      <w:r w:rsidR="00B36193">
        <w:rPr>
          <w:rFonts w:cs="Times New Roman"/>
        </w:rPr>
        <w:t xml:space="preserve">yında bir önceki aya göre </w:t>
      </w:r>
      <w:r w:rsidR="004511CC">
        <w:rPr>
          <w:rFonts w:cs="Times New Roman"/>
        </w:rPr>
        <w:t>2</w:t>
      </w:r>
      <w:r w:rsidR="002C7FEE">
        <w:rPr>
          <w:rFonts w:cs="Times New Roman"/>
        </w:rPr>
        <w:t>,0</w:t>
      </w:r>
      <w:r w:rsidR="00E76BF2">
        <w:rPr>
          <w:rFonts w:cs="Times New Roman"/>
        </w:rPr>
        <w:t xml:space="preserve"> </w:t>
      </w:r>
      <w:r w:rsidRPr="002B5EAF">
        <w:rPr>
          <w:rFonts w:cs="Times New Roman"/>
        </w:rPr>
        <w:t xml:space="preserve">puan </w:t>
      </w:r>
      <w:r w:rsidR="00541F5C">
        <w:rPr>
          <w:rFonts w:cs="Times New Roman"/>
        </w:rPr>
        <w:t>art</w:t>
      </w:r>
      <w:r w:rsidR="00F15F94">
        <w:rPr>
          <w:rFonts w:cs="Times New Roman"/>
        </w:rPr>
        <w:t>ar</w:t>
      </w:r>
      <w:r w:rsidR="00B73A80">
        <w:rPr>
          <w:rFonts w:cs="Times New Roman"/>
        </w:rPr>
        <w:t>ak</w:t>
      </w:r>
      <w:r w:rsidR="00982EED">
        <w:rPr>
          <w:rFonts w:cs="Times New Roman"/>
        </w:rPr>
        <w:t xml:space="preserve"> </w:t>
      </w:r>
      <w:r w:rsidR="002C7FEE">
        <w:rPr>
          <w:rFonts w:cs="Times New Roman"/>
        </w:rPr>
        <w:t>6</w:t>
      </w:r>
      <w:r w:rsidR="004511CC">
        <w:rPr>
          <w:rFonts w:cs="Times New Roman"/>
        </w:rPr>
        <w:t>0</w:t>
      </w:r>
      <w:r w:rsidR="002C7FEE">
        <w:rPr>
          <w:rFonts w:cs="Times New Roman"/>
        </w:rPr>
        <w:t>,</w:t>
      </w:r>
      <w:r w:rsidR="004511CC">
        <w:rPr>
          <w:rFonts w:cs="Times New Roman"/>
        </w:rPr>
        <w:t>4</w:t>
      </w:r>
      <w:r w:rsidR="00E53368">
        <w:rPr>
          <w:rFonts w:cs="Times New Roman"/>
        </w:rPr>
        <w:t xml:space="preserve"> </w:t>
      </w:r>
      <w:r w:rsidR="00AE63C8">
        <w:rPr>
          <w:rFonts w:cs="Times New Roman"/>
        </w:rPr>
        <w:t xml:space="preserve">puana </w:t>
      </w:r>
      <w:r w:rsidR="00541F5C">
        <w:rPr>
          <w:rFonts w:cs="Times New Roman"/>
        </w:rPr>
        <w:t>yükseldiği</w:t>
      </w:r>
      <w:r w:rsidR="008F2939">
        <w:rPr>
          <w:rFonts w:cs="Times New Roman"/>
        </w:rPr>
        <w:t xml:space="preserve"> </w:t>
      </w:r>
      <w:r w:rsidR="004B05D2">
        <w:rPr>
          <w:rFonts w:cs="Times New Roman"/>
        </w:rPr>
        <w:t>görülmektedir</w:t>
      </w:r>
      <w:r w:rsidRPr="002B5EAF">
        <w:rPr>
          <w:rFonts w:cs="Times New Roman"/>
        </w:rPr>
        <w:t>. 201</w:t>
      </w:r>
      <w:r w:rsidR="008F2939">
        <w:rPr>
          <w:rFonts w:cs="Times New Roman"/>
        </w:rPr>
        <w:t>8</w:t>
      </w:r>
      <w:r w:rsidRPr="002B5EAF">
        <w:rPr>
          <w:rFonts w:cs="Times New Roman"/>
        </w:rPr>
        <w:t xml:space="preserve"> </w:t>
      </w:r>
      <w:r w:rsidR="004511CC">
        <w:rPr>
          <w:rFonts w:cs="Times New Roman"/>
        </w:rPr>
        <w:t>Ekim</w:t>
      </w:r>
      <w:r w:rsidR="00BA0084">
        <w:rPr>
          <w:rFonts w:cs="Times New Roman"/>
        </w:rPr>
        <w:t xml:space="preserve"> </w:t>
      </w:r>
      <w:r w:rsidRPr="002B5EAF">
        <w:rPr>
          <w:rFonts w:cs="Times New Roman"/>
        </w:rPr>
        <w:t xml:space="preserve">ayı verilerine göre incelendiğinde ise, yüzde </w:t>
      </w:r>
      <w:r w:rsidR="004511CC">
        <w:rPr>
          <w:rFonts w:cs="Times New Roman"/>
        </w:rPr>
        <w:t>17</w:t>
      </w:r>
      <w:r w:rsidR="002C7FEE">
        <w:rPr>
          <w:rFonts w:cs="Times New Roman"/>
        </w:rPr>
        <w:t>,0</w:t>
      </w:r>
      <w:r w:rsidR="004729F3">
        <w:rPr>
          <w:rFonts w:eastAsia="Times New Roman" w:cs="Times New Roman"/>
          <w:color w:val="000000"/>
        </w:rPr>
        <w:t xml:space="preserve"> </w:t>
      </w:r>
      <w:r w:rsidRPr="002B5EAF">
        <w:rPr>
          <w:rFonts w:eastAsia="Times New Roman" w:cs="Times New Roman"/>
          <w:color w:val="000000"/>
        </w:rPr>
        <w:t xml:space="preserve">oranında </w:t>
      </w:r>
      <w:r w:rsidR="002A1453">
        <w:rPr>
          <w:rFonts w:eastAsia="Times New Roman" w:cs="Times New Roman"/>
          <w:color w:val="000000"/>
        </w:rPr>
        <w:t>arttığı</w:t>
      </w:r>
      <w:r w:rsidR="00E15504">
        <w:rPr>
          <w:rFonts w:eastAsia="Times New Roman" w:cs="Times New Roman"/>
          <w:color w:val="000000"/>
        </w:rPr>
        <w:t xml:space="preserve"> gözlemlenmektedir.</w:t>
      </w:r>
    </w:p>
    <w:p w:rsidR="00BA0AF0" w:rsidRPr="002B5EAF" w:rsidRDefault="00BA0AF0" w:rsidP="00E15504">
      <w:pPr>
        <w:pStyle w:val="Grafik"/>
      </w:pPr>
      <w:r w:rsidRPr="002B5EAF">
        <w:t xml:space="preserve">Şekil </w:t>
      </w:r>
      <w:r w:rsidR="004A15F5" w:rsidRPr="002B5EAF">
        <w:fldChar w:fldCharType="begin"/>
      </w:r>
      <w:r w:rsidRPr="002B5EAF">
        <w:instrText xml:space="preserve"> SEQ Şekil \* ARABIC </w:instrText>
      </w:r>
      <w:r w:rsidR="004A15F5" w:rsidRPr="002B5EAF">
        <w:fldChar w:fldCharType="separate"/>
      </w:r>
      <w:r w:rsidR="00FE5FF6">
        <w:rPr>
          <w:noProof/>
        </w:rPr>
        <w:t>1</w:t>
      </w:r>
      <w:r w:rsidR="004A15F5" w:rsidRPr="002B5EAF">
        <w:fldChar w:fldCharType="end"/>
      </w:r>
      <w:r w:rsidR="00746DDE">
        <w:t>: İnşaat Sektörü Güven E</w:t>
      </w:r>
      <w:r w:rsidRPr="002B5EAF">
        <w:t xml:space="preserve">ndeksi </w:t>
      </w:r>
      <w:r w:rsidR="00751C69">
        <w:t>(</w:t>
      </w:r>
      <w:r w:rsidR="001D06B5">
        <w:t>Ekim</w:t>
      </w:r>
      <w:r w:rsidR="00751C69">
        <w:t xml:space="preserve"> 201</w:t>
      </w:r>
      <w:r w:rsidR="00D74D8F">
        <w:t>8</w:t>
      </w:r>
      <w:r w:rsidR="001647BE">
        <w:t xml:space="preserve"> – </w:t>
      </w:r>
      <w:r w:rsidR="001D06B5">
        <w:t>Ekim</w:t>
      </w:r>
      <w:r w:rsidR="001647BE">
        <w:t xml:space="preserve"> 2019</w:t>
      </w:r>
      <w:r w:rsidRPr="002B5EAF">
        <w:t>)</w:t>
      </w:r>
    </w:p>
    <w:p w:rsidR="00E12C81" w:rsidRDefault="006E7BE5" w:rsidP="00F2387A">
      <w:pPr>
        <w:rPr>
          <w:rFonts w:cs="Times New Roman"/>
        </w:rPr>
      </w:pPr>
      <w:r w:rsidRPr="006E7BE5">
        <w:rPr>
          <w:noProof/>
        </w:rPr>
        <w:drawing>
          <wp:inline distT="0" distB="0" distL="0" distR="0">
            <wp:extent cx="5207000" cy="2353018"/>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6234" cy="2357191"/>
                    </a:xfrm>
                    <a:prstGeom prst="rect">
                      <a:avLst/>
                    </a:prstGeom>
                    <a:noFill/>
                    <a:ln>
                      <a:noFill/>
                    </a:ln>
                  </pic:spPr>
                </pic:pic>
              </a:graphicData>
            </a:graphic>
          </wp:inline>
        </w:drawing>
      </w:r>
    </w:p>
    <w:p w:rsidR="0035250B" w:rsidRDefault="00415908" w:rsidP="00E15504">
      <w:r>
        <w:t xml:space="preserve">Mevsimlikten arındırılmış inşaat sektörü güven endeksini oluşturan alt kalemlere bakıldığında, </w:t>
      </w:r>
      <w:r w:rsidR="004734DB">
        <w:t>Eylül</w:t>
      </w:r>
      <w:r w:rsidR="00E1138B">
        <w:t xml:space="preserve"> </w:t>
      </w:r>
      <w:r w:rsidR="00021272">
        <w:t>201</w:t>
      </w:r>
      <w:r w:rsidR="00995E07">
        <w:t>9</w:t>
      </w:r>
      <w:r w:rsidR="00996F7F">
        <w:t>’d</w:t>
      </w:r>
      <w:r w:rsidR="0083505A">
        <w:t>a</w:t>
      </w:r>
      <w:r w:rsidR="00996F7F">
        <w:t xml:space="preserve"> </w:t>
      </w:r>
      <w:r w:rsidR="004734DB">
        <w:t>44</w:t>
      </w:r>
      <w:r w:rsidR="00735443">
        <w:t>,</w:t>
      </w:r>
      <w:r w:rsidR="004734DB">
        <w:t>4</w:t>
      </w:r>
      <w:r w:rsidR="0035250B">
        <w:t xml:space="preserve"> </w:t>
      </w:r>
      <w:r>
        <w:t>puan olan alınan</w:t>
      </w:r>
      <w:r w:rsidR="00B050DB">
        <w:t xml:space="preserve"> </w:t>
      </w:r>
      <w:r w:rsidR="00543DFC">
        <w:t>siparişle</w:t>
      </w:r>
      <w:r w:rsidR="00E05545">
        <w:t>rin mevcut düzeyinin,</w:t>
      </w:r>
      <w:r w:rsidR="00996F7F">
        <w:t xml:space="preserve"> </w:t>
      </w:r>
      <w:r w:rsidR="004734DB">
        <w:t>Ekim</w:t>
      </w:r>
      <w:r w:rsidR="00735443">
        <w:t xml:space="preserve"> </w:t>
      </w:r>
      <w:r w:rsidR="00543DFC">
        <w:t>201</w:t>
      </w:r>
      <w:r w:rsidR="00E1138B">
        <w:t>9</w:t>
      </w:r>
      <w:r w:rsidR="00054D8A">
        <w:t>’d</w:t>
      </w:r>
      <w:r w:rsidR="00E1138B">
        <w:t>a</w:t>
      </w:r>
      <w:r w:rsidR="00543DFC">
        <w:t xml:space="preserve"> </w:t>
      </w:r>
      <w:r w:rsidR="004734DB">
        <w:t>4,0</w:t>
      </w:r>
      <w:r w:rsidR="0035250B">
        <w:t xml:space="preserve"> </w:t>
      </w:r>
      <w:r>
        <w:t xml:space="preserve">puan </w:t>
      </w:r>
      <w:r w:rsidR="009C2B8E">
        <w:t>arttığ</w:t>
      </w:r>
      <w:r w:rsidR="001002D4">
        <w:t>ı</w:t>
      </w:r>
      <w:r w:rsidR="004553BD">
        <w:t xml:space="preserve"> ve </w:t>
      </w:r>
      <w:r w:rsidR="004734DB">
        <w:t>48,4</w:t>
      </w:r>
      <w:r w:rsidR="009C2B8E">
        <w:t xml:space="preserve"> </w:t>
      </w:r>
      <w:r>
        <w:t>puan olduğu gözlemlenmektedir (Tablo 1). Gelecek 3 aylık dönem için toplam çalışan sayısı beklentisi ise,</w:t>
      </w:r>
      <w:r w:rsidR="0057423C">
        <w:t xml:space="preserve"> </w:t>
      </w:r>
      <w:r w:rsidR="004734DB">
        <w:t>Eylül</w:t>
      </w:r>
      <w:r w:rsidR="004C4720">
        <w:t xml:space="preserve"> </w:t>
      </w:r>
      <w:r w:rsidR="006F187F">
        <w:t>201</w:t>
      </w:r>
      <w:r w:rsidR="0083505A">
        <w:t>9’da</w:t>
      </w:r>
      <w:r w:rsidR="003C63DB">
        <w:t xml:space="preserve"> </w:t>
      </w:r>
      <w:r w:rsidR="004734DB">
        <w:t>75,9</w:t>
      </w:r>
      <w:r w:rsidR="004729F3">
        <w:t xml:space="preserve"> </w:t>
      </w:r>
      <w:r>
        <w:t>puan iken,</w:t>
      </w:r>
      <w:r w:rsidR="004C4720">
        <w:t xml:space="preserve"> </w:t>
      </w:r>
      <w:r w:rsidR="004734DB">
        <w:t>Ekim</w:t>
      </w:r>
      <w:r w:rsidR="0018138E">
        <w:t xml:space="preserve"> </w:t>
      </w:r>
      <w:r w:rsidR="00E1138B">
        <w:t>2019’da</w:t>
      </w:r>
      <w:r w:rsidR="006178F0">
        <w:t xml:space="preserve"> yüzde</w:t>
      </w:r>
      <w:r w:rsidR="00F93A42">
        <w:t xml:space="preserve"> </w:t>
      </w:r>
      <w:r w:rsidR="004734DB">
        <w:t>7</w:t>
      </w:r>
      <w:r w:rsidR="00BB52DD">
        <w:t>,</w:t>
      </w:r>
      <w:r w:rsidR="004734DB">
        <w:t>8</w:t>
      </w:r>
      <w:r w:rsidR="0018138E">
        <w:t xml:space="preserve"> </w:t>
      </w:r>
      <w:r w:rsidR="0035250B">
        <w:t xml:space="preserve">oranında </w:t>
      </w:r>
      <w:r w:rsidR="0018138E">
        <w:t>artarak</w:t>
      </w:r>
      <w:r w:rsidR="00BA40A6">
        <w:t xml:space="preserve"> </w:t>
      </w:r>
      <w:r w:rsidR="004734DB">
        <w:t>81</w:t>
      </w:r>
      <w:r w:rsidR="00BB52DD">
        <w:t>,</w:t>
      </w:r>
      <w:r w:rsidR="004734DB">
        <w:t>8</w:t>
      </w:r>
      <w:r w:rsidR="0035250B">
        <w:t xml:space="preserve"> </w:t>
      </w:r>
      <w:r>
        <w:t xml:space="preserve">puan olmuştur. </w:t>
      </w:r>
    </w:p>
    <w:p w:rsidR="00415908" w:rsidRPr="004B05D2" w:rsidRDefault="00415908" w:rsidP="00E15504">
      <w:pPr>
        <w:pStyle w:val="Grafik"/>
      </w:pPr>
      <w:r w:rsidRPr="004B05D2">
        <w:t xml:space="preserve">Tablo </w:t>
      </w:r>
      <w:fldSimple w:instr=" SEQ Tablo \* ARABIC ">
        <w:r w:rsidR="00FE5FF6">
          <w:rPr>
            <w:noProof/>
          </w:rPr>
          <w:t>1</w:t>
        </w:r>
      </w:fldSimple>
      <w:r w:rsidR="00F5267F" w:rsidRPr="004B05D2">
        <w:t>: İnşaat Sektörü Güven Endeksi B</w:t>
      </w:r>
      <w:r w:rsidRPr="004B05D2">
        <w:t>ileşenleri (</w:t>
      </w:r>
      <w:r w:rsidR="000B3405">
        <w:t>Eylül</w:t>
      </w:r>
      <w:r w:rsidR="00CC5121">
        <w:t xml:space="preserve"> 2019</w:t>
      </w:r>
      <w:r w:rsidR="00977A47">
        <w:t xml:space="preserve"> – </w:t>
      </w:r>
      <w:r w:rsidR="000B3405">
        <w:t>Ekim</w:t>
      </w:r>
      <w:r w:rsidR="00977A47">
        <w:t xml:space="preserve"> 2019</w:t>
      </w:r>
      <w:r w:rsidRPr="004B05D2">
        <w:t>)</w:t>
      </w:r>
    </w:p>
    <w:tbl>
      <w:tblPr>
        <w:tblStyle w:val="AkGlgeleme-Vurgu11"/>
        <w:tblW w:w="9442" w:type="dxa"/>
        <w:tblLook w:val="04A0" w:firstRow="1" w:lastRow="0" w:firstColumn="1" w:lastColumn="0" w:noHBand="0" w:noVBand="1"/>
      </w:tblPr>
      <w:tblGrid>
        <w:gridCol w:w="6890"/>
        <w:gridCol w:w="1224"/>
        <w:gridCol w:w="1328"/>
      </w:tblGrid>
      <w:tr w:rsidR="00DC3CEB" w:rsidRPr="00DC3CEB" w:rsidTr="00DC3CE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DC3CEB" w:rsidRPr="00E06B41" w:rsidRDefault="00DC3CEB" w:rsidP="00DC3CEB">
            <w:pPr>
              <w:rPr>
                <w:rFonts w:eastAsia="Times New Roman" w:cs="Times New Roman"/>
                <w:color w:val="000000"/>
              </w:rPr>
            </w:pPr>
          </w:p>
        </w:tc>
        <w:tc>
          <w:tcPr>
            <w:tcW w:w="2552" w:type="dxa"/>
            <w:gridSpan w:val="2"/>
            <w:noWrap/>
            <w:hideMark/>
          </w:tcPr>
          <w:p w:rsidR="00DC3CEB" w:rsidRPr="00E06B41" w:rsidRDefault="00DC3CEB" w:rsidP="00DC3CE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06B41">
              <w:rPr>
                <w:rFonts w:eastAsia="Times New Roman" w:cs="Times New Roman"/>
                <w:color w:val="000000"/>
              </w:rPr>
              <w:t>Endeks</w:t>
            </w:r>
          </w:p>
        </w:tc>
      </w:tr>
      <w:tr w:rsidR="004734DB" w:rsidRPr="00415908" w:rsidTr="004734D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4734DB" w:rsidRPr="00E06B41" w:rsidRDefault="004734DB" w:rsidP="004734DB">
            <w:pPr>
              <w:rPr>
                <w:rFonts w:eastAsia="Times New Roman" w:cs="Times New Roman"/>
                <w:color w:val="000000"/>
              </w:rPr>
            </w:pPr>
          </w:p>
        </w:tc>
        <w:tc>
          <w:tcPr>
            <w:tcW w:w="1224" w:type="dxa"/>
            <w:noWrap/>
            <w:vAlign w:val="center"/>
          </w:tcPr>
          <w:p w:rsidR="004734DB" w:rsidRPr="004734DB" w:rsidRDefault="004734DB" w:rsidP="004734DB">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4"/>
              </w:rPr>
            </w:pPr>
            <w:r w:rsidRPr="004734DB">
              <w:rPr>
                <w:rFonts w:cs="Times New Roman"/>
                <w:b/>
                <w:color w:val="auto"/>
                <w:szCs w:val="24"/>
              </w:rPr>
              <w:t>Eyl.19</w:t>
            </w:r>
          </w:p>
        </w:tc>
        <w:tc>
          <w:tcPr>
            <w:tcW w:w="1328" w:type="dxa"/>
            <w:noWrap/>
            <w:vAlign w:val="center"/>
          </w:tcPr>
          <w:p w:rsidR="004734DB" w:rsidRPr="004734DB" w:rsidRDefault="004734DB" w:rsidP="004734DB">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4"/>
              </w:rPr>
            </w:pPr>
            <w:r w:rsidRPr="004734DB">
              <w:rPr>
                <w:rFonts w:cs="Times New Roman"/>
                <w:b/>
                <w:color w:val="auto"/>
                <w:szCs w:val="24"/>
              </w:rPr>
              <w:t>Eki.19</w:t>
            </w:r>
          </w:p>
        </w:tc>
      </w:tr>
      <w:tr w:rsidR="004734DB" w:rsidRPr="00DC3CEB" w:rsidTr="004734DB">
        <w:trPr>
          <w:trHeight w:val="494"/>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4734DB" w:rsidRPr="00E06B41" w:rsidRDefault="004734DB" w:rsidP="004734DB">
            <w:pPr>
              <w:rPr>
                <w:rFonts w:eastAsia="Times New Roman" w:cs="Times New Roman"/>
                <w:color w:val="000000"/>
              </w:rPr>
            </w:pPr>
            <w:r w:rsidRPr="00E06B41">
              <w:rPr>
                <w:rFonts w:eastAsia="Times New Roman" w:cs="Times New Roman"/>
                <w:color w:val="000000"/>
              </w:rPr>
              <w:t>İnşaat Sektörü Güven Endeksi</w:t>
            </w:r>
          </w:p>
        </w:tc>
        <w:tc>
          <w:tcPr>
            <w:tcW w:w="1224" w:type="dxa"/>
            <w:noWrap/>
            <w:vAlign w:val="center"/>
          </w:tcPr>
          <w:p w:rsidR="004734DB" w:rsidRPr="004734DB" w:rsidRDefault="004734DB" w:rsidP="004734DB">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Cs w:val="24"/>
              </w:rPr>
            </w:pPr>
            <w:r w:rsidRPr="004734DB">
              <w:rPr>
                <w:rFonts w:cs="Times New Roman"/>
                <w:b/>
                <w:color w:val="auto"/>
                <w:szCs w:val="24"/>
              </w:rPr>
              <w:t>60,1</w:t>
            </w:r>
          </w:p>
        </w:tc>
        <w:tc>
          <w:tcPr>
            <w:tcW w:w="1328" w:type="dxa"/>
            <w:noWrap/>
            <w:vAlign w:val="center"/>
          </w:tcPr>
          <w:p w:rsidR="004734DB" w:rsidRPr="004734DB" w:rsidRDefault="004734DB" w:rsidP="004734DB">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Cs w:val="24"/>
              </w:rPr>
            </w:pPr>
            <w:r w:rsidRPr="004734DB">
              <w:rPr>
                <w:rFonts w:cs="Times New Roman"/>
                <w:b/>
                <w:color w:val="auto"/>
                <w:szCs w:val="24"/>
              </w:rPr>
              <w:t>65,1</w:t>
            </w:r>
          </w:p>
        </w:tc>
      </w:tr>
      <w:tr w:rsidR="004734DB" w:rsidRPr="00DC3CEB" w:rsidTr="004734D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4734DB" w:rsidRPr="00E06B41" w:rsidRDefault="004734DB" w:rsidP="004734DB">
            <w:pPr>
              <w:rPr>
                <w:rFonts w:eastAsia="Times New Roman" w:cs="Times New Roman"/>
                <w:b w:val="0"/>
                <w:color w:val="000000"/>
              </w:rPr>
            </w:pPr>
            <w:r w:rsidRPr="00E06B41">
              <w:rPr>
                <w:rFonts w:eastAsia="Times New Roman" w:cs="Times New Roman"/>
                <w:b w:val="0"/>
                <w:color w:val="000000"/>
              </w:rPr>
              <w:t>Alınan kayıtlı siparişlerin mevcut düzeyi</w:t>
            </w:r>
          </w:p>
        </w:tc>
        <w:tc>
          <w:tcPr>
            <w:tcW w:w="1224" w:type="dxa"/>
            <w:noWrap/>
            <w:vAlign w:val="center"/>
          </w:tcPr>
          <w:p w:rsidR="004734DB" w:rsidRPr="004734DB" w:rsidRDefault="004734DB" w:rsidP="004734DB">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4734DB">
              <w:rPr>
                <w:rFonts w:cs="Times New Roman"/>
                <w:color w:val="auto"/>
                <w:szCs w:val="24"/>
              </w:rPr>
              <w:t>44,4</w:t>
            </w:r>
          </w:p>
        </w:tc>
        <w:tc>
          <w:tcPr>
            <w:tcW w:w="1328" w:type="dxa"/>
            <w:noWrap/>
            <w:vAlign w:val="center"/>
          </w:tcPr>
          <w:p w:rsidR="004734DB" w:rsidRPr="004734DB" w:rsidRDefault="004734DB" w:rsidP="004734DB">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4734DB">
              <w:rPr>
                <w:rFonts w:cs="Times New Roman"/>
                <w:color w:val="auto"/>
                <w:szCs w:val="24"/>
              </w:rPr>
              <w:t>48,4</w:t>
            </w:r>
          </w:p>
        </w:tc>
      </w:tr>
      <w:tr w:rsidR="004734DB" w:rsidRPr="00DC3CEB" w:rsidTr="004734DB">
        <w:trPr>
          <w:trHeight w:val="669"/>
        </w:trPr>
        <w:tc>
          <w:tcPr>
            <w:cnfStyle w:val="001000000000" w:firstRow="0" w:lastRow="0" w:firstColumn="1" w:lastColumn="0" w:oddVBand="0" w:evenVBand="0" w:oddHBand="0" w:evenHBand="0" w:firstRowFirstColumn="0" w:firstRowLastColumn="0" w:lastRowFirstColumn="0" w:lastRowLastColumn="0"/>
            <w:tcW w:w="6890" w:type="dxa"/>
            <w:noWrap/>
            <w:vAlign w:val="center"/>
            <w:hideMark/>
          </w:tcPr>
          <w:p w:rsidR="004734DB" w:rsidRPr="00E06B41" w:rsidRDefault="004734DB" w:rsidP="004734DB">
            <w:pPr>
              <w:rPr>
                <w:rFonts w:eastAsia="Times New Roman" w:cs="Times New Roman"/>
                <w:b w:val="0"/>
                <w:color w:val="000000"/>
              </w:rPr>
            </w:pPr>
            <w:r w:rsidRPr="00E06B41">
              <w:rPr>
                <w:rFonts w:eastAsia="Times New Roman" w:cs="Times New Roman"/>
                <w:b w:val="0"/>
                <w:color w:val="000000"/>
              </w:rPr>
              <w:t>Toplam çalışan sayısı beklentisi (gelecek 3 aylık dönemde)</w:t>
            </w:r>
          </w:p>
        </w:tc>
        <w:tc>
          <w:tcPr>
            <w:tcW w:w="1224" w:type="dxa"/>
            <w:noWrap/>
            <w:vAlign w:val="center"/>
          </w:tcPr>
          <w:p w:rsidR="004734DB" w:rsidRPr="004734DB" w:rsidRDefault="004734DB" w:rsidP="004734DB">
            <w:pPr>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4734DB">
              <w:rPr>
                <w:rFonts w:cs="Times New Roman"/>
                <w:color w:val="auto"/>
                <w:szCs w:val="24"/>
              </w:rPr>
              <w:t>75,9</w:t>
            </w:r>
          </w:p>
        </w:tc>
        <w:tc>
          <w:tcPr>
            <w:tcW w:w="1328" w:type="dxa"/>
            <w:noWrap/>
            <w:vAlign w:val="center"/>
          </w:tcPr>
          <w:p w:rsidR="004734DB" w:rsidRPr="004734DB" w:rsidRDefault="004734DB" w:rsidP="004734DB">
            <w:pPr>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4734DB">
              <w:rPr>
                <w:rFonts w:cs="Times New Roman"/>
                <w:color w:val="auto"/>
                <w:szCs w:val="24"/>
              </w:rPr>
              <w:t>81,8</w:t>
            </w:r>
          </w:p>
        </w:tc>
      </w:tr>
    </w:tbl>
    <w:p w:rsidR="00E12C81" w:rsidRPr="00E15504" w:rsidRDefault="00E12C81" w:rsidP="00E15504">
      <w:pPr>
        <w:pStyle w:val="Balk2"/>
      </w:pPr>
      <w:r w:rsidRPr="00E15504">
        <w:lastRenderedPageBreak/>
        <w:t>Hizmet sektörü güven endeksi</w:t>
      </w:r>
    </w:p>
    <w:p w:rsidR="00415908" w:rsidRDefault="0067120F" w:rsidP="00E15504">
      <w:r>
        <w:t>201</w:t>
      </w:r>
      <w:r w:rsidR="00AB369B">
        <w:t xml:space="preserve">9 </w:t>
      </w:r>
      <w:r w:rsidR="00D02C82">
        <w:t>Ekim</w:t>
      </w:r>
      <w:r w:rsidR="00DF0661">
        <w:t xml:space="preserve"> </w:t>
      </w:r>
      <w:r w:rsidR="00415908" w:rsidRPr="002B5EAF">
        <w:t xml:space="preserve">ayı mevsimlikten arındırılmış hizmet sektörü güven endeksi incelendiğinde </w:t>
      </w:r>
      <w:r w:rsidR="00415908">
        <w:t>(Şekil 2)</w:t>
      </w:r>
      <w:r>
        <w:t>, 201</w:t>
      </w:r>
      <w:r w:rsidR="009B3FF2">
        <w:t>8</w:t>
      </w:r>
      <w:r w:rsidR="00B82CA4">
        <w:t xml:space="preserve"> yılı </w:t>
      </w:r>
      <w:r w:rsidR="00D02C82">
        <w:t>Ekim</w:t>
      </w:r>
      <w:r w:rsidR="005B1EAF">
        <w:t xml:space="preserve"> </w:t>
      </w:r>
      <w:r w:rsidR="004701F9">
        <w:t xml:space="preserve">ayına göre yüzde </w:t>
      </w:r>
      <w:r w:rsidR="00D02C82">
        <w:t>19,8</w:t>
      </w:r>
      <w:r w:rsidR="00BB0798">
        <w:t xml:space="preserve"> oranında </w:t>
      </w:r>
      <w:r w:rsidR="0095774C">
        <w:t>a</w:t>
      </w:r>
      <w:r w:rsidR="003F48D2">
        <w:t>rt</w:t>
      </w:r>
      <w:r w:rsidR="00D40056">
        <w:t>ış</w:t>
      </w:r>
      <w:r w:rsidR="00BB0798">
        <w:t xml:space="preserve"> gösterdiği</w:t>
      </w:r>
      <w:r w:rsidR="004701F9">
        <w:t xml:space="preserve"> (</w:t>
      </w:r>
      <w:r w:rsidR="003F48D2">
        <w:t>1</w:t>
      </w:r>
      <w:r w:rsidR="00D02C82">
        <w:t>5</w:t>
      </w:r>
      <w:r w:rsidR="003F48D2">
        <w:t>,</w:t>
      </w:r>
      <w:r w:rsidR="00D02C82">
        <w:t>0</w:t>
      </w:r>
      <w:r w:rsidR="00733E11">
        <w:t xml:space="preserve"> puan</w:t>
      </w:r>
      <w:r w:rsidR="0095774C">
        <w:t xml:space="preserve">) ve </w:t>
      </w:r>
      <w:r w:rsidR="003F48D2">
        <w:t>9</w:t>
      </w:r>
      <w:r w:rsidR="00D02C82">
        <w:t>0</w:t>
      </w:r>
      <w:r w:rsidR="003F48D2">
        <w:t>,</w:t>
      </w:r>
      <w:r w:rsidR="00D02C82">
        <w:t>7</w:t>
      </w:r>
      <w:r w:rsidR="00CC0799">
        <w:t xml:space="preserve"> </w:t>
      </w:r>
      <w:r w:rsidR="00415908" w:rsidRPr="002B5EAF">
        <w:t xml:space="preserve">puana </w:t>
      </w:r>
      <w:r w:rsidR="003F48D2">
        <w:t>yükseldiği</w:t>
      </w:r>
      <w:r w:rsidR="00415908" w:rsidRPr="002B5EAF">
        <w:t xml:space="preserve"> göze çarpmaktadır.</w:t>
      </w:r>
      <w:r w:rsidR="00DB0FFC">
        <w:t xml:space="preserve"> </w:t>
      </w:r>
      <w:r w:rsidR="00415908" w:rsidRPr="002B5EAF">
        <w:t>201</w:t>
      </w:r>
      <w:r w:rsidR="00AB369B">
        <w:t>9</w:t>
      </w:r>
      <w:r w:rsidR="00415908" w:rsidRPr="002B5EAF">
        <w:t xml:space="preserve"> yılı </w:t>
      </w:r>
      <w:r w:rsidR="000E7DF6">
        <w:t>Eylül</w:t>
      </w:r>
      <w:r w:rsidR="00415908" w:rsidRPr="002B5EAF">
        <w:t xml:space="preserve"> </w:t>
      </w:r>
      <w:r w:rsidR="00CC0799">
        <w:t xml:space="preserve">ayına göre bakıldığında ise </w:t>
      </w:r>
      <w:r w:rsidR="00730B95">
        <w:t xml:space="preserve">yüzde </w:t>
      </w:r>
      <w:r w:rsidR="000E7DF6">
        <w:t>1</w:t>
      </w:r>
      <w:r w:rsidR="003F48D2">
        <w:t>,</w:t>
      </w:r>
      <w:r w:rsidR="000E7DF6">
        <w:t>8</w:t>
      </w:r>
      <w:r w:rsidR="00B60799">
        <w:t xml:space="preserve"> </w:t>
      </w:r>
      <w:r w:rsidR="00415908" w:rsidRPr="002B5EAF">
        <w:t xml:space="preserve">oranında </w:t>
      </w:r>
      <w:r w:rsidR="003F48D2">
        <w:t>arttığı</w:t>
      </w:r>
      <w:r w:rsidR="00E90ADD">
        <w:t xml:space="preserve"> </w:t>
      </w:r>
      <w:r w:rsidR="000319EB">
        <w:t>(</w:t>
      </w:r>
      <w:r w:rsidR="000E7DF6">
        <w:t>1,4</w:t>
      </w:r>
      <w:r w:rsidR="00415908" w:rsidRPr="002B5EAF">
        <w:t xml:space="preserve"> puan) görülmektedir. </w:t>
      </w:r>
    </w:p>
    <w:p w:rsidR="00E12C81" w:rsidRDefault="00E12C81" w:rsidP="00E15504">
      <w:r w:rsidRPr="002B5EAF">
        <w:t xml:space="preserve">Mevsimlikten arındırılmamış </w:t>
      </w:r>
      <w:r w:rsidR="00415908">
        <w:t>endeks ise</w:t>
      </w:r>
      <w:r w:rsidR="00A332D6">
        <w:t>, 201</w:t>
      </w:r>
      <w:r w:rsidR="00A959F7">
        <w:t>9</w:t>
      </w:r>
      <w:r w:rsidR="0067120F">
        <w:t xml:space="preserve"> yılının </w:t>
      </w:r>
      <w:r w:rsidR="008E4DEA">
        <w:t>Eylül</w:t>
      </w:r>
      <w:r w:rsidR="00E03ED9">
        <w:t xml:space="preserve"> </w:t>
      </w:r>
      <w:r w:rsidR="005132FC">
        <w:t xml:space="preserve">ayına göre yüzde </w:t>
      </w:r>
      <w:r w:rsidR="008E4DEA">
        <w:t>3,4</w:t>
      </w:r>
      <w:r w:rsidRPr="002B5EAF">
        <w:t xml:space="preserve"> oranında </w:t>
      </w:r>
      <w:r w:rsidR="008E4DEA">
        <w:t>düşerek</w:t>
      </w:r>
      <w:r w:rsidR="00DB0FFC">
        <w:t xml:space="preserve"> (</w:t>
      </w:r>
      <w:r w:rsidR="00DE7935">
        <w:t>3,</w:t>
      </w:r>
      <w:r w:rsidR="008E4DEA">
        <w:t>1</w:t>
      </w:r>
      <w:r w:rsidR="00DE7935">
        <w:t xml:space="preserve"> </w:t>
      </w:r>
      <w:r w:rsidR="00BB0798">
        <w:t>p</w:t>
      </w:r>
      <w:r w:rsidR="00EE3747">
        <w:t>u</w:t>
      </w:r>
      <w:r w:rsidR="00CC0799">
        <w:t>an)</w:t>
      </w:r>
      <w:r w:rsidR="00C8117B">
        <w:t xml:space="preserve"> </w:t>
      </w:r>
      <w:r w:rsidR="008E4DEA">
        <w:t>88,3</w:t>
      </w:r>
      <w:r w:rsidR="00415908">
        <w:t xml:space="preserve"> olurken, </w:t>
      </w:r>
      <w:r w:rsidR="00054D8A">
        <w:t>201</w:t>
      </w:r>
      <w:r w:rsidR="009A7E44">
        <w:t>8</w:t>
      </w:r>
      <w:r w:rsidRPr="002B5EAF">
        <w:t xml:space="preserve"> yılı </w:t>
      </w:r>
      <w:r w:rsidR="008E4DEA">
        <w:t xml:space="preserve">Ekim </w:t>
      </w:r>
      <w:r w:rsidRPr="002B5EAF">
        <w:t>ayı</w:t>
      </w:r>
      <w:r w:rsidR="00DB0FFC">
        <w:t>na göre</w:t>
      </w:r>
      <w:r w:rsidR="00EE3747">
        <w:t xml:space="preserve"> </w:t>
      </w:r>
      <w:r w:rsidR="006F39B3">
        <w:t xml:space="preserve">yüzde </w:t>
      </w:r>
      <w:r w:rsidR="008E4DEA">
        <w:t>20,4</w:t>
      </w:r>
      <w:r w:rsidR="00415908">
        <w:t xml:space="preserve"> oranında </w:t>
      </w:r>
      <w:r w:rsidR="00054D8A">
        <w:t>(</w:t>
      </w:r>
      <w:r w:rsidR="008E4DEA">
        <w:t>18</w:t>
      </w:r>
      <w:r w:rsidR="00DE7935">
        <w:t>,</w:t>
      </w:r>
      <w:r w:rsidR="008E4DEA">
        <w:t>0</w:t>
      </w:r>
      <w:r w:rsidR="005B1EAF">
        <w:t xml:space="preserve"> </w:t>
      </w:r>
      <w:r w:rsidR="00415908" w:rsidRPr="002B5EAF">
        <w:t>puan)</w:t>
      </w:r>
      <w:r w:rsidR="00415908">
        <w:t xml:space="preserve"> </w:t>
      </w:r>
      <w:r w:rsidR="00DE7935">
        <w:t>art</w:t>
      </w:r>
      <w:r w:rsidR="00D40056">
        <w:t>mıştır</w:t>
      </w:r>
      <w:r w:rsidRPr="002B5EAF">
        <w:t>.</w:t>
      </w:r>
    </w:p>
    <w:p w:rsidR="00735C81" w:rsidRPr="002B5EAF" w:rsidRDefault="00735C81" w:rsidP="00E15504">
      <w:pPr>
        <w:pStyle w:val="Balk2"/>
      </w:pPr>
      <w:r w:rsidRPr="002B5EAF">
        <w:t xml:space="preserve">Şekil </w:t>
      </w:r>
      <w:r w:rsidR="00472839">
        <w:t>2</w:t>
      </w:r>
      <w:r w:rsidR="00F5267F">
        <w:t>: Hizmet Sektörü Güven E</w:t>
      </w:r>
      <w:r w:rsidRPr="002B5EAF">
        <w:t>ndeksi (</w:t>
      </w:r>
      <w:r w:rsidR="00493F0D">
        <w:t>Ekim</w:t>
      </w:r>
      <w:r w:rsidR="001333F1">
        <w:t xml:space="preserve"> </w:t>
      </w:r>
      <w:r w:rsidR="00D9283D">
        <w:t>201</w:t>
      </w:r>
      <w:r w:rsidR="00F9266A">
        <w:t xml:space="preserve">8 – </w:t>
      </w:r>
      <w:r w:rsidR="00493F0D">
        <w:t xml:space="preserve">Ekim </w:t>
      </w:r>
      <w:r w:rsidR="00F9266A">
        <w:t>2019</w:t>
      </w:r>
      <w:r w:rsidRPr="002B5EAF">
        <w:t>)</w:t>
      </w:r>
    </w:p>
    <w:p w:rsidR="00E12C81" w:rsidRPr="002B5EAF" w:rsidRDefault="006E7653" w:rsidP="00F2387A">
      <w:pPr>
        <w:rPr>
          <w:rFonts w:cs="Times New Roman"/>
        </w:rPr>
      </w:pPr>
      <w:r w:rsidRPr="006E7653">
        <w:rPr>
          <w:noProof/>
        </w:rPr>
        <w:drawing>
          <wp:inline distT="0" distB="0" distL="0" distR="0">
            <wp:extent cx="5760720" cy="199072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990723"/>
                    </a:xfrm>
                    <a:prstGeom prst="rect">
                      <a:avLst/>
                    </a:prstGeom>
                    <a:noFill/>
                    <a:ln>
                      <a:noFill/>
                    </a:ln>
                  </pic:spPr>
                </pic:pic>
              </a:graphicData>
            </a:graphic>
          </wp:inline>
        </w:drawing>
      </w:r>
    </w:p>
    <w:p w:rsidR="00415908" w:rsidRPr="002B5EAF" w:rsidRDefault="00415908" w:rsidP="00E15504">
      <w:r>
        <w:t>Mevsim etkilerinden arındırılmış hizmet sektörü güven e</w:t>
      </w:r>
      <w:r w:rsidR="00FD2413">
        <w:t xml:space="preserve">ndeksinin oluştuğu alt kalemler </w:t>
      </w:r>
      <w:r>
        <w:t>incelendiğinde (Tablo 2),</w:t>
      </w:r>
      <w:r w:rsidR="005F51E4">
        <w:t xml:space="preserve"> </w:t>
      </w:r>
      <w:r w:rsidR="00621381">
        <w:t>Eylül</w:t>
      </w:r>
      <w:r w:rsidR="00081203">
        <w:t xml:space="preserve"> </w:t>
      </w:r>
      <w:r w:rsidR="007C3780">
        <w:t>201</w:t>
      </w:r>
      <w:r w:rsidR="006C2A4F">
        <w:t>9</w:t>
      </w:r>
      <w:r w:rsidR="007C3780">
        <w:t>’d</w:t>
      </w:r>
      <w:r w:rsidR="006C2A4F">
        <w:t>a</w:t>
      </w:r>
      <w:r w:rsidR="00E50E81">
        <w:t xml:space="preserve"> </w:t>
      </w:r>
      <w:r w:rsidR="00621381">
        <w:t>87</w:t>
      </w:r>
      <w:r w:rsidR="00FE5FF6">
        <w:t>,</w:t>
      </w:r>
      <w:r w:rsidR="00621381">
        <w:t>0</w:t>
      </w:r>
      <w:r w:rsidR="006479FF">
        <w:t xml:space="preserve"> </w:t>
      </w:r>
      <w:r>
        <w:t>puan olan iş durumunun,</w:t>
      </w:r>
      <w:r w:rsidR="00F67B2E">
        <w:t xml:space="preserve"> </w:t>
      </w:r>
      <w:r w:rsidR="00621381">
        <w:t>Ekim</w:t>
      </w:r>
      <w:r w:rsidR="004A7FDE">
        <w:t xml:space="preserve"> 2019’da</w:t>
      </w:r>
      <w:r w:rsidR="00A4252F">
        <w:t xml:space="preserve"> yü</w:t>
      </w:r>
      <w:r w:rsidR="0072469D">
        <w:t xml:space="preserve">zde </w:t>
      </w:r>
      <w:r w:rsidR="00621381">
        <w:t>0</w:t>
      </w:r>
      <w:r w:rsidR="006C68F4">
        <w:t>,</w:t>
      </w:r>
      <w:r w:rsidR="00621381">
        <w:t>2</w:t>
      </w:r>
      <w:r w:rsidR="006C68F4">
        <w:t xml:space="preserve"> </w:t>
      </w:r>
      <w:r w:rsidR="00EE168A">
        <w:t>oranında (</w:t>
      </w:r>
      <w:r w:rsidR="00814F63">
        <w:t>0,2</w:t>
      </w:r>
      <w:r>
        <w:t xml:space="preserve"> puan) </w:t>
      </w:r>
      <w:r w:rsidR="0055038A">
        <w:t>azal</w:t>
      </w:r>
      <w:r w:rsidR="00CE7B3C">
        <w:t>a</w:t>
      </w:r>
      <w:r w:rsidR="00942DEF">
        <w:t xml:space="preserve">rak </w:t>
      </w:r>
      <w:r w:rsidR="006C68F4">
        <w:t>8</w:t>
      </w:r>
      <w:r w:rsidR="00814F63">
        <w:t>6</w:t>
      </w:r>
      <w:r w:rsidR="006C68F4">
        <w:t>,</w:t>
      </w:r>
      <w:r w:rsidR="00814F63">
        <w:t>8</w:t>
      </w:r>
      <w:r w:rsidR="00C12F28">
        <w:t xml:space="preserve"> </w:t>
      </w:r>
      <w:r>
        <w:t>puan olduğu görülmektedir. Hizmet sektörünün diğer bir alt kalemi olan hizmetlere olan talep</w:t>
      </w:r>
      <w:r w:rsidR="003C0AB3">
        <w:t xml:space="preserve"> </w:t>
      </w:r>
      <w:r w:rsidR="00814F63">
        <w:t>Ekim</w:t>
      </w:r>
      <w:r w:rsidR="003836BA">
        <w:t xml:space="preserve"> </w:t>
      </w:r>
      <w:r w:rsidR="004A7FDE">
        <w:t>2019</w:t>
      </w:r>
      <w:r w:rsidR="007C3780">
        <w:t>’d</w:t>
      </w:r>
      <w:r w:rsidR="00851A63">
        <w:t>a</w:t>
      </w:r>
      <w:r w:rsidR="003C0AB3">
        <w:t xml:space="preserve"> bir önceki aya göre</w:t>
      </w:r>
      <w:r w:rsidR="00E2518C">
        <w:t xml:space="preserve"> </w:t>
      </w:r>
      <w:r w:rsidR="00814F63">
        <w:t xml:space="preserve">0,1 </w:t>
      </w:r>
      <w:r>
        <w:t xml:space="preserve">puan </w:t>
      </w:r>
      <w:r w:rsidR="00814F63">
        <w:t>düşmü</w:t>
      </w:r>
      <w:r w:rsidR="00942DEF">
        <w:t>ş</w:t>
      </w:r>
      <w:r w:rsidR="008F474D">
        <w:t xml:space="preserve"> </w:t>
      </w:r>
      <w:r>
        <w:t xml:space="preserve">ve </w:t>
      </w:r>
      <w:r w:rsidR="00814F63">
        <w:t>85,3</w:t>
      </w:r>
      <w:r w:rsidR="00942DEF">
        <w:t xml:space="preserve"> </w:t>
      </w:r>
      <w:r w:rsidR="008F037C">
        <w:t>puan olmuştur</w:t>
      </w:r>
      <w:r w:rsidR="00A4252F">
        <w:t xml:space="preserve">. </w:t>
      </w:r>
      <w:r w:rsidR="00814F63">
        <w:t>Eylül</w:t>
      </w:r>
      <w:r w:rsidR="003A209E">
        <w:t xml:space="preserve"> </w:t>
      </w:r>
      <w:r w:rsidR="006C2A4F">
        <w:t>2019’da</w:t>
      </w:r>
      <w:r w:rsidR="003C6B2D">
        <w:t xml:space="preserve"> </w:t>
      </w:r>
      <w:r w:rsidR="003836BA">
        <w:t>9</w:t>
      </w:r>
      <w:r w:rsidR="00814F63">
        <w:t>5,4</w:t>
      </w:r>
      <w:r>
        <w:t xml:space="preserve"> puan olan gelecek 3 aylık dönem için hizmet</w:t>
      </w:r>
      <w:r w:rsidR="004A7FDE">
        <w:t>lere</w:t>
      </w:r>
      <w:r w:rsidR="006C2A4F">
        <w:t xml:space="preserve"> olan talep beklentisi ise, </w:t>
      </w:r>
      <w:r w:rsidR="00814F63">
        <w:t>Ekim</w:t>
      </w:r>
      <w:r w:rsidR="00AD10C4">
        <w:t xml:space="preserve"> </w:t>
      </w:r>
      <w:r w:rsidR="007C3780">
        <w:t>201</w:t>
      </w:r>
      <w:r w:rsidR="003836BA">
        <w:t>9’da yüzde 4,</w:t>
      </w:r>
      <w:r w:rsidR="00814F63">
        <w:t>9</w:t>
      </w:r>
      <w:r w:rsidR="00963DD3">
        <w:t xml:space="preserve"> </w:t>
      </w:r>
      <w:r w:rsidR="003836BA">
        <w:t>art</w:t>
      </w:r>
      <w:r w:rsidR="00640A3B">
        <w:t>mış</w:t>
      </w:r>
      <w:r w:rsidR="00CE7185">
        <w:t xml:space="preserve"> ve </w:t>
      </w:r>
      <w:r w:rsidR="00814F63">
        <w:t>100</w:t>
      </w:r>
      <w:r w:rsidR="009344F2">
        <w:t>,</w:t>
      </w:r>
      <w:r w:rsidR="00814F63">
        <w:t>1</w:t>
      </w:r>
      <w:r w:rsidR="00F9737B">
        <w:t xml:space="preserve"> </w:t>
      </w:r>
      <w:r w:rsidR="00AD10C4">
        <w:t>puan olmuştur.</w:t>
      </w:r>
    </w:p>
    <w:p w:rsidR="00415908" w:rsidRPr="004B05D2" w:rsidRDefault="00415908" w:rsidP="00E15504">
      <w:pPr>
        <w:pStyle w:val="Grafik"/>
      </w:pPr>
      <w:r w:rsidRPr="004B05D2">
        <w:t xml:space="preserve">Tablo </w:t>
      </w:r>
      <w:fldSimple w:instr=" SEQ Tablo \* ARABIC ">
        <w:r w:rsidR="00FE5FF6">
          <w:rPr>
            <w:noProof/>
          </w:rPr>
          <w:t>2</w:t>
        </w:r>
      </w:fldSimple>
      <w:r w:rsidRPr="004B05D2">
        <w:t xml:space="preserve">: Hizmet sektörü güven endeksi alt bileşenleri </w:t>
      </w:r>
      <w:r w:rsidR="0095306C" w:rsidRPr="004B05D2">
        <w:t>(</w:t>
      </w:r>
      <w:r w:rsidR="004B700A">
        <w:t xml:space="preserve">Eylül </w:t>
      </w:r>
      <w:r w:rsidR="009344F2">
        <w:t>2019</w:t>
      </w:r>
      <w:r w:rsidR="003836BA">
        <w:t xml:space="preserve"> – </w:t>
      </w:r>
      <w:r w:rsidR="004B700A">
        <w:t>Ekim</w:t>
      </w:r>
      <w:r w:rsidR="003836BA">
        <w:t xml:space="preserve"> 2019</w:t>
      </w:r>
      <w:r w:rsidRPr="004B05D2">
        <w:t>)</w:t>
      </w:r>
    </w:p>
    <w:tbl>
      <w:tblPr>
        <w:tblStyle w:val="AkGlgeleme-Vurgu11"/>
        <w:tblW w:w="9026" w:type="dxa"/>
        <w:tblLook w:val="04A0" w:firstRow="1" w:lastRow="0" w:firstColumn="1" w:lastColumn="0" w:noHBand="0" w:noVBand="1"/>
      </w:tblPr>
      <w:tblGrid>
        <w:gridCol w:w="6416"/>
        <w:gridCol w:w="1252"/>
        <w:gridCol w:w="1358"/>
      </w:tblGrid>
      <w:tr w:rsidR="00F73F8D" w:rsidRPr="00F73F8D" w:rsidTr="00F73F8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F73F8D" w:rsidRPr="00F73F8D" w:rsidRDefault="00F73F8D" w:rsidP="00F73F8D">
            <w:pPr>
              <w:rPr>
                <w:rFonts w:ascii="Calibri" w:eastAsia="Times New Roman" w:hAnsi="Calibri" w:cs="Times New Roman"/>
                <w:color w:val="000000"/>
              </w:rPr>
            </w:pPr>
          </w:p>
        </w:tc>
        <w:tc>
          <w:tcPr>
            <w:tcW w:w="2610" w:type="dxa"/>
            <w:gridSpan w:val="2"/>
            <w:noWrap/>
            <w:hideMark/>
          </w:tcPr>
          <w:p w:rsidR="00F73F8D" w:rsidRPr="00E06B41" w:rsidRDefault="00F73F8D" w:rsidP="00F73F8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06B41">
              <w:rPr>
                <w:rFonts w:eastAsia="Times New Roman" w:cs="Times New Roman"/>
                <w:color w:val="000000"/>
              </w:rPr>
              <w:t>Endeks</w:t>
            </w:r>
          </w:p>
        </w:tc>
      </w:tr>
      <w:tr w:rsidR="00BB7080" w:rsidRPr="00F73F8D" w:rsidTr="00BB708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BB7080" w:rsidRPr="00E06B41" w:rsidRDefault="00BB7080" w:rsidP="00BB7080">
            <w:pPr>
              <w:rPr>
                <w:rFonts w:eastAsia="Times New Roman" w:cs="Times New Roman"/>
                <w:color w:val="000000"/>
              </w:rPr>
            </w:pPr>
          </w:p>
        </w:tc>
        <w:tc>
          <w:tcPr>
            <w:tcW w:w="1252" w:type="dxa"/>
            <w:noWrap/>
            <w:vAlign w:val="center"/>
          </w:tcPr>
          <w:p w:rsidR="00BB7080" w:rsidRPr="00BB7080" w:rsidRDefault="00BB7080" w:rsidP="00BB708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4"/>
              </w:rPr>
            </w:pPr>
            <w:r w:rsidRPr="00BB7080">
              <w:rPr>
                <w:rFonts w:cs="Times New Roman"/>
                <w:b/>
                <w:color w:val="auto"/>
                <w:szCs w:val="24"/>
              </w:rPr>
              <w:t>Eyl.19</w:t>
            </w:r>
          </w:p>
        </w:tc>
        <w:tc>
          <w:tcPr>
            <w:tcW w:w="1358" w:type="dxa"/>
            <w:noWrap/>
            <w:vAlign w:val="center"/>
          </w:tcPr>
          <w:p w:rsidR="00BB7080" w:rsidRPr="00BB7080" w:rsidRDefault="00BB7080" w:rsidP="00BB708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4"/>
              </w:rPr>
            </w:pPr>
            <w:r w:rsidRPr="00BB7080">
              <w:rPr>
                <w:rFonts w:cs="Times New Roman"/>
                <w:b/>
                <w:color w:val="auto"/>
                <w:szCs w:val="24"/>
              </w:rPr>
              <w:t>Eki.19</w:t>
            </w:r>
          </w:p>
        </w:tc>
      </w:tr>
      <w:tr w:rsidR="00BB7080" w:rsidRPr="003F4934" w:rsidTr="00BB7080">
        <w:trPr>
          <w:trHeight w:val="485"/>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BB7080" w:rsidRPr="00E06B41" w:rsidRDefault="00BB7080" w:rsidP="00BB7080">
            <w:pPr>
              <w:rPr>
                <w:rFonts w:eastAsia="Times New Roman" w:cs="Times New Roman"/>
                <w:color w:val="000000"/>
              </w:rPr>
            </w:pPr>
            <w:r w:rsidRPr="00E06B41">
              <w:rPr>
                <w:rFonts w:eastAsia="Times New Roman" w:cs="Times New Roman"/>
                <w:color w:val="000000"/>
              </w:rPr>
              <w:t>Hizmet Sektörü Güven Endeksi</w:t>
            </w:r>
          </w:p>
        </w:tc>
        <w:tc>
          <w:tcPr>
            <w:tcW w:w="1252" w:type="dxa"/>
            <w:noWrap/>
            <w:vAlign w:val="center"/>
          </w:tcPr>
          <w:p w:rsidR="00BB7080" w:rsidRPr="00BB7080" w:rsidRDefault="00BB7080" w:rsidP="00BB7080">
            <w:pPr>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Cs w:val="24"/>
              </w:rPr>
            </w:pPr>
            <w:r w:rsidRPr="00BB7080">
              <w:rPr>
                <w:rFonts w:cs="Times New Roman"/>
                <w:b/>
                <w:bCs/>
                <w:color w:val="auto"/>
                <w:szCs w:val="24"/>
              </w:rPr>
              <w:t>89,3</w:t>
            </w:r>
          </w:p>
        </w:tc>
        <w:tc>
          <w:tcPr>
            <w:tcW w:w="1358" w:type="dxa"/>
            <w:noWrap/>
            <w:vAlign w:val="center"/>
          </w:tcPr>
          <w:p w:rsidR="00BB7080" w:rsidRPr="00BB7080" w:rsidRDefault="00BB7080" w:rsidP="00BB7080">
            <w:pPr>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Cs w:val="24"/>
              </w:rPr>
            </w:pPr>
            <w:r w:rsidRPr="00BB7080">
              <w:rPr>
                <w:rFonts w:cs="Times New Roman"/>
                <w:b/>
                <w:bCs/>
                <w:color w:val="auto"/>
                <w:szCs w:val="24"/>
              </w:rPr>
              <w:t>90,7</w:t>
            </w:r>
          </w:p>
        </w:tc>
      </w:tr>
      <w:tr w:rsidR="00BB7080" w:rsidRPr="00EC3041" w:rsidTr="00BB7080">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BB7080" w:rsidRPr="00E06B41" w:rsidRDefault="00BB7080" w:rsidP="00BB7080">
            <w:pPr>
              <w:rPr>
                <w:rFonts w:eastAsia="Times New Roman" w:cs="Times New Roman"/>
                <w:b w:val="0"/>
                <w:color w:val="000000"/>
              </w:rPr>
            </w:pPr>
            <w:r w:rsidRPr="00E06B41">
              <w:rPr>
                <w:rFonts w:eastAsia="Times New Roman" w:cs="Times New Roman"/>
                <w:b w:val="0"/>
                <w:color w:val="000000"/>
              </w:rPr>
              <w:t>İş Durumu (Son 3 aylık dönemde)</w:t>
            </w:r>
          </w:p>
        </w:tc>
        <w:tc>
          <w:tcPr>
            <w:tcW w:w="1252" w:type="dxa"/>
            <w:noWrap/>
            <w:vAlign w:val="center"/>
          </w:tcPr>
          <w:p w:rsidR="00BB7080" w:rsidRPr="00BB7080" w:rsidRDefault="00BB7080" w:rsidP="00BB7080">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B7080">
              <w:rPr>
                <w:rFonts w:cs="Times New Roman"/>
                <w:color w:val="auto"/>
                <w:szCs w:val="24"/>
              </w:rPr>
              <w:t>87,0</w:t>
            </w:r>
          </w:p>
        </w:tc>
        <w:tc>
          <w:tcPr>
            <w:tcW w:w="1358" w:type="dxa"/>
            <w:noWrap/>
            <w:vAlign w:val="center"/>
          </w:tcPr>
          <w:p w:rsidR="00BB7080" w:rsidRPr="00BB7080" w:rsidRDefault="00BB7080" w:rsidP="00BB7080">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B7080">
              <w:rPr>
                <w:rFonts w:cs="Times New Roman"/>
                <w:color w:val="auto"/>
                <w:szCs w:val="24"/>
              </w:rPr>
              <w:t>86,8</w:t>
            </w:r>
          </w:p>
        </w:tc>
      </w:tr>
      <w:tr w:rsidR="00BB7080" w:rsidRPr="00EC3041" w:rsidTr="00BB7080">
        <w:trPr>
          <w:trHeight w:val="657"/>
        </w:trPr>
        <w:tc>
          <w:tcPr>
            <w:cnfStyle w:val="001000000000" w:firstRow="0" w:lastRow="0" w:firstColumn="1" w:lastColumn="0" w:oddVBand="0" w:evenVBand="0" w:oddHBand="0" w:evenHBand="0" w:firstRowFirstColumn="0" w:firstRowLastColumn="0" w:lastRowFirstColumn="0" w:lastRowLastColumn="0"/>
            <w:tcW w:w="6416" w:type="dxa"/>
            <w:noWrap/>
            <w:vAlign w:val="center"/>
            <w:hideMark/>
          </w:tcPr>
          <w:p w:rsidR="00BB7080" w:rsidRPr="00E06B41" w:rsidRDefault="00BB7080" w:rsidP="00BB7080">
            <w:pPr>
              <w:rPr>
                <w:rFonts w:eastAsia="Times New Roman" w:cs="Times New Roman"/>
                <w:b w:val="0"/>
                <w:color w:val="000000"/>
              </w:rPr>
            </w:pPr>
            <w:r w:rsidRPr="00E06B41">
              <w:rPr>
                <w:rFonts w:eastAsia="Times New Roman" w:cs="Times New Roman"/>
                <w:b w:val="0"/>
                <w:color w:val="000000"/>
              </w:rPr>
              <w:t>Hizmetlere olan talep (son 3 aylık dönemde)</w:t>
            </w:r>
          </w:p>
        </w:tc>
        <w:tc>
          <w:tcPr>
            <w:tcW w:w="1252" w:type="dxa"/>
            <w:noWrap/>
            <w:vAlign w:val="center"/>
          </w:tcPr>
          <w:p w:rsidR="00BB7080" w:rsidRPr="00BB7080" w:rsidRDefault="00BB7080" w:rsidP="00BB7080">
            <w:pPr>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B7080">
              <w:rPr>
                <w:rFonts w:cs="Times New Roman"/>
                <w:color w:val="auto"/>
                <w:szCs w:val="24"/>
              </w:rPr>
              <w:t>85,4</w:t>
            </w:r>
          </w:p>
        </w:tc>
        <w:tc>
          <w:tcPr>
            <w:tcW w:w="1358" w:type="dxa"/>
            <w:noWrap/>
            <w:vAlign w:val="center"/>
          </w:tcPr>
          <w:p w:rsidR="00BB7080" w:rsidRPr="00BB7080" w:rsidRDefault="00BB7080" w:rsidP="00BB7080">
            <w:pPr>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B7080">
              <w:rPr>
                <w:rFonts w:cs="Times New Roman"/>
                <w:color w:val="auto"/>
                <w:szCs w:val="24"/>
              </w:rPr>
              <w:t>85,3</w:t>
            </w:r>
          </w:p>
        </w:tc>
      </w:tr>
      <w:tr w:rsidR="00BB7080" w:rsidRPr="00EC3041" w:rsidTr="00BB708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BB7080" w:rsidRPr="00E06B41" w:rsidRDefault="00BB7080" w:rsidP="00BB7080">
            <w:pPr>
              <w:rPr>
                <w:rFonts w:eastAsia="Times New Roman" w:cs="Times New Roman"/>
                <w:b w:val="0"/>
                <w:color w:val="000000"/>
              </w:rPr>
            </w:pPr>
            <w:r w:rsidRPr="00E06B41">
              <w:rPr>
                <w:rFonts w:eastAsia="Times New Roman" w:cs="Times New Roman"/>
                <w:b w:val="0"/>
                <w:color w:val="000000"/>
              </w:rPr>
              <w:t>Hizmetlere olan talep beklentisi (gelecek 3 aylık dönemde)</w:t>
            </w:r>
          </w:p>
        </w:tc>
        <w:tc>
          <w:tcPr>
            <w:tcW w:w="1252" w:type="dxa"/>
            <w:noWrap/>
            <w:vAlign w:val="center"/>
          </w:tcPr>
          <w:p w:rsidR="00BB7080" w:rsidRPr="00BB7080" w:rsidRDefault="00BB7080" w:rsidP="00BB7080">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B7080">
              <w:rPr>
                <w:rFonts w:cs="Times New Roman"/>
                <w:color w:val="auto"/>
                <w:szCs w:val="24"/>
              </w:rPr>
              <w:t>95,4</w:t>
            </w:r>
          </w:p>
        </w:tc>
        <w:tc>
          <w:tcPr>
            <w:tcW w:w="1358" w:type="dxa"/>
            <w:noWrap/>
            <w:vAlign w:val="center"/>
          </w:tcPr>
          <w:p w:rsidR="00BB7080" w:rsidRPr="00BB7080" w:rsidRDefault="00BB7080" w:rsidP="00BB7080">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B7080">
              <w:rPr>
                <w:rFonts w:cs="Times New Roman"/>
                <w:color w:val="auto"/>
                <w:szCs w:val="24"/>
              </w:rPr>
              <w:t>100,1</w:t>
            </w:r>
          </w:p>
        </w:tc>
      </w:tr>
    </w:tbl>
    <w:p w:rsidR="00E12C81" w:rsidRDefault="00E12C81" w:rsidP="00415908">
      <w:pPr>
        <w:rPr>
          <w:rFonts w:cs="Times New Roman"/>
        </w:rPr>
      </w:pPr>
    </w:p>
    <w:p w:rsidR="006528C8" w:rsidRDefault="006528C8" w:rsidP="00415908">
      <w:pPr>
        <w:rPr>
          <w:rFonts w:cs="Times New Roman"/>
        </w:rPr>
      </w:pPr>
    </w:p>
    <w:p w:rsidR="006528C8" w:rsidRDefault="006528C8" w:rsidP="00415908">
      <w:pPr>
        <w:rPr>
          <w:rFonts w:cs="Times New Roman"/>
        </w:rPr>
      </w:pPr>
    </w:p>
    <w:p w:rsidR="006528C8" w:rsidRDefault="006528C8" w:rsidP="00415908">
      <w:pPr>
        <w:rPr>
          <w:rFonts w:cs="Times New Roman"/>
        </w:rPr>
      </w:pPr>
    </w:p>
    <w:p w:rsidR="006528C8" w:rsidRPr="006528C8" w:rsidRDefault="006528C8" w:rsidP="006528C8">
      <w:pPr>
        <w:pStyle w:val="NormalWeb"/>
        <w:jc w:val="both"/>
        <w:rPr>
          <w:color w:val="000000"/>
          <w:szCs w:val="27"/>
        </w:rPr>
      </w:pPr>
      <w:r w:rsidRPr="006528C8">
        <w:rPr>
          <w:color w:val="000000"/>
          <w:szCs w:val="27"/>
        </w:rPr>
        <w:lastRenderedPageBreak/>
        <w:t>Akademik Danışman Görüşü</w:t>
      </w:r>
    </w:p>
    <w:p w:rsidR="006528C8" w:rsidRPr="006528C8" w:rsidRDefault="006528C8" w:rsidP="006528C8">
      <w:pPr>
        <w:pStyle w:val="NormalWeb"/>
        <w:jc w:val="both"/>
        <w:rPr>
          <w:color w:val="000000"/>
          <w:szCs w:val="27"/>
        </w:rPr>
      </w:pPr>
      <w:r w:rsidRPr="006528C8">
        <w:rPr>
          <w:color w:val="000000"/>
          <w:szCs w:val="27"/>
        </w:rPr>
        <w:t xml:space="preserve">Mevsim etkilerinden arındırılmış inşaat sektörü güven endeksi geçen yılın </w:t>
      </w:r>
      <w:r>
        <w:rPr>
          <w:color w:val="000000"/>
          <w:szCs w:val="27"/>
        </w:rPr>
        <w:t>Ekim ayına göre 6,5 puan art</w:t>
      </w:r>
      <w:r w:rsidRPr="006528C8">
        <w:rPr>
          <w:color w:val="000000"/>
          <w:szCs w:val="27"/>
        </w:rPr>
        <w:t xml:space="preserve">arak 55,5 olarak gerçekleşmiştir. Mevsimlikten arındırılmış inşaat sektörü güven endeksini oluşturan alt kalemlere bakıldığında, </w:t>
      </w:r>
      <w:r>
        <w:rPr>
          <w:color w:val="000000"/>
          <w:szCs w:val="27"/>
        </w:rPr>
        <w:t>Eylül ayına göre iyileşme görülmektedir. Faizlerin düşmesi ve daha uygun oranlarla kredile</w:t>
      </w:r>
      <w:r w:rsidR="0017456F">
        <w:rPr>
          <w:color w:val="000000"/>
          <w:szCs w:val="27"/>
        </w:rPr>
        <w:t>rin mümkün olması bu iyileşmeyi desteklemektedir</w:t>
      </w:r>
      <w:r w:rsidRPr="006528C8">
        <w:rPr>
          <w:color w:val="000000"/>
          <w:szCs w:val="27"/>
        </w:rPr>
        <w:t xml:space="preserve">. Hizmet sektörü güven endeksinde bir önceki aya göre kısmi bir iyileşme görülmektedir. Bu sektörde de geçen yılın aynı </w:t>
      </w:r>
      <w:r w:rsidR="0017456F">
        <w:rPr>
          <w:color w:val="000000"/>
          <w:szCs w:val="27"/>
        </w:rPr>
        <w:t>ayına göre 15 puan</w:t>
      </w:r>
      <w:r w:rsidRPr="006528C8">
        <w:rPr>
          <w:color w:val="000000"/>
          <w:szCs w:val="27"/>
        </w:rPr>
        <w:t xml:space="preserve"> iyileşme söz konusudur. Alt bileşenlerine bakacak olursak </w:t>
      </w:r>
      <w:r w:rsidR="0017456F">
        <w:rPr>
          <w:color w:val="000000"/>
          <w:szCs w:val="27"/>
        </w:rPr>
        <w:t>geçen aya göre sadece talep beklentilerinde bir iyileşme</w:t>
      </w:r>
      <w:r w:rsidRPr="006528C8">
        <w:rPr>
          <w:color w:val="000000"/>
          <w:szCs w:val="27"/>
        </w:rPr>
        <w:t xml:space="preserve"> görülmektedir. Uzun vadeli yatırımlar gerektiren bu sektörler için ekonomik belirsizlikler önemli engellerdir. Bu belirsizliklerin azalması ile endekslerin yükselmesi beklenebilir. Kredi faizlerinin de yüksek seviyelerde olması bu sektörleri olumsuz etkilemektedir. Her iki sektör de çok önemli istihdam yaratan sektörlerdir. Dolayısı ile bu sektörlere ait güven endekslerindeki bozulmalar işsizlik problemini daha da artırmaktadır. Özellikle inşaat sektöründeki iyileşmelerin önümüzdeki aylarda devam etmesi çok önemlidir.</w:t>
      </w:r>
    </w:p>
    <w:p w:rsidR="006528C8" w:rsidRPr="006528C8" w:rsidRDefault="006528C8" w:rsidP="006528C8">
      <w:pPr>
        <w:pStyle w:val="NormalWeb"/>
        <w:ind w:left="4956" w:firstLine="708"/>
        <w:jc w:val="both"/>
        <w:rPr>
          <w:color w:val="000000"/>
          <w:szCs w:val="27"/>
        </w:rPr>
      </w:pPr>
      <w:r w:rsidRPr="006528C8">
        <w:rPr>
          <w:color w:val="000000"/>
          <w:szCs w:val="27"/>
        </w:rPr>
        <w:t>Dr. Öğr. Üyesi Alperen M. YİĞİT</w:t>
      </w:r>
    </w:p>
    <w:p w:rsidR="006528C8" w:rsidRPr="002B5EAF" w:rsidRDefault="006528C8" w:rsidP="00415908">
      <w:pPr>
        <w:rPr>
          <w:rFonts w:cs="Times New Roman"/>
        </w:rPr>
      </w:pPr>
    </w:p>
    <w:sectPr w:rsidR="006528C8" w:rsidRPr="002B5EAF" w:rsidSect="00D11DC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86" w:rsidRDefault="00DB4686" w:rsidP="00E15504">
      <w:pPr>
        <w:spacing w:after="0" w:line="240" w:lineRule="auto"/>
      </w:pPr>
      <w:r>
        <w:separator/>
      </w:r>
    </w:p>
  </w:endnote>
  <w:endnote w:type="continuationSeparator" w:id="0">
    <w:p w:rsidR="00DB4686" w:rsidRDefault="00DB4686" w:rsidP="00E1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550471"/>
      <w:docPartObj>
        <w:docPartGallery w:val="Page Numbers (Bottom of Page)"/>
        <w:docPartUnique/>
      </w:docPartObj>
    </w:sdtPr>
    <w:sdtEndPr/>
    <w:sdtContent>
      <w:p w:rsidR="00E15504" w:rsidRDefault="00E15504">
        <w:pPr>
          <w:pStyle w:val="Altbilgi"/>
          <w:jc w:val="right"/>
        </w:pPr>
        <w:r>
          <w:fldChar w:fldCharType="begin"/>
        </w:r>
        <w:r>
          <w:instrText>PAGE   \* MERGEFORMAT</w:instrText>
        </w:r>
        <w:r>
          <w:fldChar w:fldCharType="separate"/>
        </w:r>
        <w:r w:rsidR="002F1FE0">
          <w:rPr>
            <w:noProof/>
          </w:rPr>
          <w:t>1</w:t>
        </w:r>
        <w:r>
          <w:fldChar w:fldCharType="end"/>
        </w:r>
      </w:p>
    </w:sdtContent>
  </w:sdt>
  <w:p w:rsidR="00E15504" w:rsidRDefault="00E155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86" w:rsidRDefault="00DB4686" w:rsidP="00E15504">
      <w:pPr>
        <w:spacing w:after="0" w:line="240" w:lineRule="auto"/>
      </w:pPr>
      <w:r>
        <w:separator/>
      </w:r>
    </w:p>
  </w:footnote>
  <w:footnote w:type="continuationSeparator" w:id="0">
    <w:p w:rsidR="00DB4686" w:rsidRDefault="00DB4686" w:rsidP="00E15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0tDAyszCwMDOzMDNW0lEKTi0uzszPAykwNKwFAFOmX7gtAAAA"/>
  </w:docVars>
  <w:rsids>
    <w:rsidRoot w:val="00BA0AF0"/>
    <w:rsid w:val="00001939"/>
    <w:rsid w:val="000165C7"/>
    <w:rsid w:val="00021272"/>
    <w:rsid w:val="00023034"/>
    <w:rsid w:val="00027223"/>
    <w:rsid w:val="000319EB"/>
    <w:rsid w:val="00036091"/>
    <w:rsid w:val="000378BB"/>
    <w:rsid w:val="00041E14"/>
    <w:rsid w:val="00054D8A"/>
    <w:rsid w:val="00074A05"/>
    <w:rsid w:val="00080D25"/>
    <w:rsid w:val="00081203"/>
    <w:rsid w:val="00082A8B"/>
    <w:rsid w:val="00083959"/>
    <w:rsid w:val="00086B75"/>
    <w:rsid w:val="00095803"/>
    <w:rsid w:val="000975F9"/>
    <w:rsid w:val="000A5231"/>
    <w:rsid w:val="000B1BD1"/>
    <w:rsid w:val="000B3405"/>
    <w:rsid w:val="000B56BE"/>
    <w:rsid w:val="000E47E7"/>
    <w:rsid w:val="000E7DF6"/>
    <w:rsid w:val="000F4388"/>
    <w:rsid w:val="001002D4"/>
    <w:rsid w:val="001026C6"/>
    <w:rsid w:val="001027FD"/>
    <w:rsid w:val="001040A2"/>
    <w:rsid w:val="00107F1F"/>
    <w:rsid w:val="0011679B"/>
    <w:rsid w:val="001333F1"/>
    <w:rsid w:val="00140437"/>
    <w:rsid w:val="001418C7"/>
    <w:rsid w:val="00156289"/>
    <w:rsid w:val="00161E0D"/>
    <w:rsid w:val="0016388F"/>
    <w:rsid w:val="001647BE"/>
    <w:rsid w:val="00165BA5"/>
    <w:rsid w:val="00165FCB"/>
    <w:rsid w:val="00170F04"/>
    <w:rsid w:val="0017456F"/>
    <w:rsid w:val="0018138E"/>
    <w:rsid w:val="001A0EC5"/>
    <w:rsid w:val="001A1A87"/>
    <w:rsid w:val="001A2AAD"/>
    <w:rsid w:val="001A3547"/>
    <w:rsid w:val="001A7020"/>
    <w:rsid w:val="001B3FD6"/>
    <w:rsid w:val="001B4B87"/>
    <w:rsid w:val="001B7E16"/>
    <w:rsid w:val="001C5D32"/>
    <w:rsid w:val="001D06B5"/>
    <w:rsid w:val="001D31C9"/>
    <w:rsid w:val="001D78A7"/>
    <w:rsid w:val="001F45C1"/>
    <w:rsid w:val="001F564C"/>
    <w:rsid w:val="00200568"/>
    <w:rsid w:val="002005BA"/>
    <w:rsid w:val="00203386"/>
    <w:rsid w:val="0020454D"/>
    <w:rsid w:val="00207990"/>
    <w:rsid w:val="0022114F"/>
    <w:rsid w:val="00226F56"/>
    <w:rsid w:val="00233F6E"/>
    <w:rsid w:val="0025520C"/>
    <w:rsid w:val="00262FF1"/>
    <w:rsid w:val="00264FA3"/>
    <w:rsid w:val="002701B7"/>
    <w:rsid w:val="00273012"/>
    <w:rsid w:val="00282CEF"/>
    <w:rsid w:val="0028702B"/>
    <w:rsid w:val="00287BD1"/>
    <w:rsid w:val="00292A77"/>
    <w:rsid w:val="002960EC"/>
    <w:rsid w:val="0029724F"/>
    <w:rsid w:val="002A1453"/>
    <w:rsid w:val="002B5EAF"/>
    <w:rsid w:val="002C176D"/>
    <w:rsid w:val="002C7FEE"/>
    <w:rsid w:val="002D1321"/>
    <w:rsid w:val="002D413C"/>
    <w:rsid w:val="002D467F"/>
    <w:rsid w:val="002E040D"/>
    <w:rsid w:val="002E6D02"/>
    <w:rsid w:val="002F1FE0"/>
    <w:rsid w:val="002F3809"/>
    <w:rsid w:val="00303DCD"/>
    <w:rsid w:val="0030435D"/>
    <w:rsid w:val="00304DB6"/>
    <w:rsid w:val="00307365"/>
    <w:rsid w:val="00311EBA"/>
    <w:rsid w:val="00313C52"/>
    <w:rsid w:val="0032228B"/>
    <w:rsid w:val="003265ED"/>
    <w:rsid w:val="00347C2E"/>
    <w:rsid w:val="0035250B"/>
    <w:rsid w:val="003571B8"/>
    <w:rsid w:val="0037286A"/>
    <w:rsid w:val="00374EB7"/>
    <w:rsid w:val="003760F2"/>
    <w:rsid w:val="00376705"/>
    <w:rsid w:val="003836BA"/>
    <w:rsid w:val="003A209E"/>
    <w:rsid w:val="003A2471"/>
    <w:rsid w:val="003A4CF2"/>
    <w:rsid w:val="003A4DE8"/>
    <w:rsid w:val="003A4E9E"/>
    <w:rsid w:val="003A70B7"/>
    <w:rsid w:val="003B625F"/>
    <w:rsid w:val="003C0AB3"/>
    <w:rsid w:val="003C63DB"/>
    <w:rsid w:val="003C6B2D"/>
    <w:rsid w:val="003D52DB"/>
    <w:rsid w:val="003D57C4"/>
    <w:rsid w:val="003E7ABA"/>
    <w:rsid w:val="003F48D2"/>
    <w:rsid w:val="003F4934"/>
    <w:rsid w:val="003F5E00"/>
    <w:rsid w:val="003F7737"/>
    <w:rsid w:val="0040040E"/>
    <w:rsid w:val="004026B4"/>
    <w:rsid w:val="00411C0E"/>
    <w:rsid w:val="004121E1"/>
    <w:rsid w:val="00414417"/>
    <w:rsid w:val="00414D32"/>
    <w:rsid w:val="00415908"/>
    <w:rsid w:val="0042174D"/>
    <w:rsid w:val="0042607A"/>
    <w:rsid w:val="00444D65"/>
    <w:rsid w:val="004471C7"/>
    <w:rsid w:val="004511CC"/>
    <w:rsid w:val="0045208A"/>
    <w:rsid w:val="004553BD"/>
    <w:rsid w:val="0046369B"/>
    <w:rsid w:val="004638D6"/>
    <w:rsid w:val="004701F9"/>
    <w:rsid w:val="00472839"/>
    <w:rsid w:val="004729F3"/>
    <w:rsid w:val="004734DB"/>
    <w:rsid w:val="00474645"/>
    <w:rsid w:val="004845D3"/>
    <w:rsid w:val="00493F0D"/>
    <w:rsid w:val="00494A67"/>
    <w:rsid w:val="00496A38"/>
    <w:rsid w:val="004A0B57"/>
    <w:rsid w:val="004A15F5"/>
    <w:rsid w:val="004A214F"/>
    <w:rsid w:val="004A7FDE"/>
    <w:rsid w:val="004B05D2"/>
    <w:rsid w:val="004B1DF6"/>
    <w:rsid w:val="004B53CA"/>
    <w:rsid w:val="004B700A"/>
    <w:rsid w:val="004C3B97"/>
    <w:rsid w:val="004C4720"/>
    <w:rsid w:val="004F0E94"/>
    <w:rsid w:val="004F58BB"/>
    <w:rsid w:val="005131B0"/>
    <w:rsid w:val="005132FC"/>
    <w:rsid w:val="005148AF"/>
    <w:rsid w:val="00520B2A"/>
    <w:rsid w:val="00526F14"/>
    <w:rsid w:val="005365D4"/>
    <w:rsid w:val="00541F5C"/>
    <w:rsid w:val="005434BB"/>
    <w:rsid w:val="00543B8C"/>
    <w:rsid w:val="00543DFC"/>
    <w:rsid w:val="0055024B"/>
    <w:rsid w:val="0055038A"/>
    <w:rsid w:val="00550581"/>
    <w:rsid w:val="0056011E"/>
    <w:rsid w:val="00571C47"/>
    <w:rsid w:val="00572182"/>
    <w:rsid w:val="0057423C"/>
    <w:rsid w:val="00576633"/>
    <w:rsid w:val="00576F09"/>
    <w:rsid w:val="00583970"/>
    <w:rsid w:val="00590839"/>
    <w:rsid w:val="00597811"/>
    <w:rsid w:val="005B1EAF"/>
    <w:rsid w:val="005D1EB3"/>
    <w:rsid w:val="005D5F20"/>
    <w:rsid w:val="005D7929"/>
    <w:rsid w:val="005E0AFC"/>
    <w:rsid w:val="005F0680"/>
    <w:rsid w:val="005F0ACA"/>
    <w:rsid w:val="005F1E22"/>
    <w:rsid w:val="005F3D0A"/>
    <w:rsid w:val="005F504C"/>
    <w:rsid w:val="005F51E4"/>
    <w:rsid w:val="0060273B"/>
    <w:rsid w:val="006116B7"/>
    <w:rsid w:val="006157CE"/>
    <w:rsid w:val="006176A9"/>
    <w:rsid w:val="006178F0"/>
    <w:rsid w:val="00621381"/>
    <w:rsid w:val="0062194C"/>
    <w:rsid w:val="00624464"/>
    <w:rsid w:val="006313A5"/>
    <w:rsid w:val="00640A3B"/>
    <w:rsid w:val="00640C7C"/>
    <w:rsid w:val="00646E04"/>
    <w:rsid w:val="006479FF"/>
    <w:rsid w:val="00647A5C"/>
    <w:rsid w:val="00647CB8"/>
    <w:rsid w:val="006528C8"/>
    <w:rsid w:val="00660880"/>
    <w:rsid w:val="00662D6E"/>
    <w:rsid w:val="006708A6"/>
    <w:rsid w:val="0067120F"/>
    <w:rsid w:val="0067222E"/>
    <w:rsid w:val="0067296E"/>
    <w:rsid w:val="00674F4A"/>
    <w:rsid w:val="00681A61"/>
    <w:rsid w:val="00687495"/>
    <w:rsid w:val="006934C1"/>
    <w:rsid w:val="006A1C57"/>
    <w:rsid w:val="006A2EF6"/>
    <w:rsid w:val="006A3C59"/>
    <w:rsid w:val="006B7D58"/>
    <w:rsid w:val="006C1F7A"/>
    <w:rsid w:val="006C2A4F"/>
    <w:rsid w:val="006C4AB5"/>
    <w:rsid w:val="006C68F4"/>
    <w:rsid w:val="006D157A"/>
    <w:rsid w:val="006D2FB2"/>
    <w:rsid w:val="006D6C3C"/>
    <w:rsid w:val="006E7653"/>
    <w:rsid w:val="006E7BE5"/>
    <w:rsid w:val="006F187F"/>
    <w:rsid w:val="006F23D8"/>
    <w:rsid w:val="006F39B3"/>
    <w:rsid w:val="00703D10"/>
    <w:rsid w:val="007041D2"/>
    <w:rsid w:val="0071356F"/>
    <w:rsid w:val="007229B9"/>
    <w:rsid w:val="00722C3F"/>
    <w:rsid w:val="00722F2F"/>
    <w:rsid w:val="0072469D"/>
    <w:rsid w:val="00730B95"/>
    <w:rsid w:val="0073396B"/>
    <w:rsid w:val="00733E11"/>
    <w:rsid w:val="0073412A"/>
    <w:rsid w:val="00734FA4"/>
    <w:rsid w:val="00735443"/>
    <w:rsid w:val="00735C81"/>
    <w:rsid w:val="0074062D"/>
    <w:rsid w:val="00746DDE"/>
    <w:rsid w:val="00751C69"/>
    <w:rsid w:val="007542F0"/>
    <w:rsid w:val="007552FC"/>
    <w:rsid w:val="00756E1D"/>
    <w:rsid w:val="00763B74"/>
    <w:rsid w:val="00766039"/>
    <w:rsid w:val="0079344E"/>
    <w:rsid w:val="007A61BB"/>
    <w:rsid w:val="007B5C52"/>
    <w:rsid w:val="007C1E77"/>
    <w:rsid w:val="007C3780"/>
    <w:rsid w:val="007C40D1"/>
    <w:rsid w:val="007C6923"/>
    <w:rsid w:val="007E45C0"/>
    <w:rsid w:val="007E60E5"/>
    <w:rsid w:val="00805589"/>
    <w:rsid w:val="008071E5"/>
    <w:rsid w:val="00814F63"/>
    <w:rsid w:val="008164FC"/>
    <w:rsid w:val="008212B1"/>
    <w:rsid w:val="00822990"/>
    <w:rsid w:val="008310FF"/>
    <w:rsid w:val="0083505A"/>
    <w:rsid w:val="00836F9A"/>
    <w:rsid w:val="00851A63"/>
    <w:rsid w:val="00855E14"/>
    <w:rsid w:val="008606C1"/>
    <w:rsid w:val="00864D2F"/>
    <w:rsid w:val="00870D01"/>
    <w:rsid w:val="00871AE4"/>
    <w:rsid w:val="00884976"/>
    <w:rsid w:val="00890360"/>
    <w:rsid w:val="00897DA7"/>
    <w:rsid w:val="008A1254"/>
    <w:rsid w:val="008A33AE"/>
    <w:rsid w:val="008A3853"/>
    <w:rsid w:val="008A771E"/>
    <w:rsid w:val="008A77E9"/>
    <w:rsid w:val="008B29F9"/>
    <w:rsid w:val="008C3A4E"/>
    <w:rsid w:val="008D4EB0"/>
    <w:rsid w:val="008E4DEA"/>
    <w:rsid w:val="008F037C"/>
    <w:rsid w:val="008F2939"/>
    <w:rsid w:val="008F474D"/>
    <w:rsid w:val="008F6EF4"/>
    <w:rsid w:val="00912C7B"/>
    <w:rsid w:val="00915AFC"/>
    <w:rsid w:val="00922474"/>
    <w:rsid w:val="009316CD"/>
    <w:rsid w:val="00931BB6"/>
    <w:rsid w:val="009344F2"/>
    <w:rsid w:val="00941751"/>
    <w:rsid w:val="00942DEF"/>
    <w:rsid w:val="0094387A"/>
    <w:rsid w:val="009510A9"/>
    <w:rsid w:val="0095306C"/>
    <w:rsid w:val="0095774C"/>
    <w:rsid w:val="00960957"/>
    <w:rsid w:val="00963DD3"/>
    <w:rsid w:val="009724AC"/>
    <w:rsid w:val="0097734F"/>
    <w:rsid w:val="00977A47"/>
    <w:rsid w:val="00981DB6"/>
    <w:rsid w:val="00981E48"/>
    <w:rsid w:val="00982EED"/>
    <w:rsid w:val="00984DC7"/>
    <w:rsid w:val="0099010B"/>
    <w:rsid w:val="00995A82"/>
    <w:rsid w:val="00995E07"/>
    <w:rsid w:val="00996F7F"/>
    <w:rsid w:val="009A7E44"/>
    <w:rsid w:val="009B3FF2"/>
    <w:rsid w:val="009B5021"/>
    <w:rsid w:val="009B6A7A"/>
    <w:rsid w:val="009C2B8E"/>
    <w:rsid w:val="009C52AE"/>
    <w:rsid w:val="009C5699"/>
    <w:rsid w:val="009C7E77"/>
    <w:rsid w:val="009D63C0"/>
    <w:rsid w:val="009E30DF"/>
    <w:rsid w:val="009E3952"/>
    <w:rsid w:val="009F3A87"/>
    <w:rsid w:val="009F6886"/>
    <w:rsid w:val="00A00243"/>
    <w:rsid w:val="00A1218E"/>
    <w:rsid w:val="00A17C8D"/>
    <w:rsid w:val="00A2299A"/>
    <w:rsid w:val="00A270E3"/>
    <w:rsid w:val="00A332D6"/>
    <w:rsid w:val="00A414F7"/>
    <w:rsid w:val="00A41FF2"/>
    <w:rsid w:val="00A4252F"/>
    <w:rsid w:val="00A7249F"/>
    <w:rsid w:val="00A80793"/>
    <w:rsid w:val="00A817D1"/>
    <w:rsid w:val="00A8233A"/>
    <w:rsid w:val="00A85A31"/>
    <w:rsid w:val="00A928AB"/>
    <w:rsid w:val="00A959F7"/>
    <w:rsid w:val="00A97AC3"/>
    <w:rsid w:val="00AA5196"/>
    <w:rsid w:val="00AA67FF"/>
    <w:rsid w:val="00AB369B"/>
    <w:rsid w:val="00AB3B74"/>
    <w:rsid w:val="00AC3B0E"/>
    <w:rsid w:val="00AC4AAE"/>
    <w:rsid w:val="00AD0231"/>
    <w:rsid w:val="00AD0348"/>
    <w:rsid w:val="00AD10C4"/>
    <w:rsid w:val="00AD6B7D"/>
    <w:rsid w:val="00AE146A"/>
    <w:rsid w:val="00AE63C8"/>
    <w:rsid w:val="00AF565B"/>
    <w:rsid w:val="00B050DB"/>
    <w:rsid w:val="00B153E5"/>
    <w:rsid w:val="00B16439"/>
    <w:rsid w:val="00B22A6C"/>
    <w:rsid w:val="00B26ABF"/>
    <w:rsid w:val="00B35A25"/>
    <w:rsid w:val="00B36193"/>
    <w:rsid w:val="00B41E31"/>
    <w:rsid w:val="00B4408D"/>
    <w:rsid w:val="00B455DD"/>
    <w:rsid w:val="00B47BBE"/>
    <w:rsid w:val="00B60799"/>
    <w:rsid w:val="00B66D7D"/>
    <w:rsid w:val="00B70A60"/>
    <w:rsid w:val="00B73A80"/>
    <w:rsid w:val="00B74F32"/>
    <w:rsid w:val="00B77501"/>
    <w:rsid w:val="00B77779"/>
    <w:rsid w:val="00B81204"/>
    <w:rsid w:val="00B81743"/>
    <w:rsid w:val="00B81FEA"/>
    <w:rsid w:val="00B82CA4"/>
    <w:rsid w:val="00B83461"/>
    <w:rsid w:val="00B8636F"/>
    <w:rsid w:val="00BA0084"/>
    <w:rsid w:val="00BA0AF0"/>
    <w:rsid w:val="00BA3D68"/>
    <w:rsid w:val="00BA40A6"/>
    <w:rsid w:val="00BB0798"/>
    <w:rsid w:val="00BB1F86"/>
    <w:rsid w:val="00BB3B61"/>
    <w:rsid w:val="00BB52DD"/>
    <w:rsid w:val="00BB7080"/>
    <w:rsid w:val="00BC452F"/>
    <w:rsid w:val="00BE14F5"/>
    <w:rsid w:val="00BE2F10"/>
    <w:rsid w:val="00BF056D"/>
    <w:rsid w:val="00BF186E"/>
    <w:rsid w:val="00BF7231"/>
    <w:rsid w:val="00C00636"/>
    <w:rsid w:val="00C03663"/>
    <w:rsid w:val="00C0378F"/>
    <w:rsid w:val="00C03934"/>
    <w:rsid w:val="00C04185"/>
    <w:rsid w:val="00C06DE1"/>
    <w:rsid w:val="00C1054D"/>
    <w:rsid w:val="00C12F28"/>
    <w:rsid w:val="00C2576A"/>
    <w:rsid w:val="00C41B6B"/>
    <w:rsid w:val="00C450BF"/>
    <w:rsid w:val="00C4634F"/>
    <w:rsid w:val="00C51B65"/>
    <w:rsid w:val="00C57165"/>
    <w:rsid w:val="00C61466"/>
    <w:rsid w:val="00C8117B"/>
    <w:rsid w:val="00C8198F"/>
    <w:rsid w:val="00C937F9"/>
    <w:rsid w:val="00CA571E"/>
    <w:rsid w:val="00CA5ACC"/>
    <w:rsid w:val="00CA7009"/>
    <w:rsid w:val="00CB3192"/>
    <w:rsid w:val="00CC05F5"/>
    <w:rsid w:val="00CC0799"/>
    <w:rsid w:val="00CC5121"/>
    <w:rsid w:val="00CC622A"/>
    <w:rsid w:val="00CD2398"/>
    <w:rsid w:val="00CE3226"/>
    <w:rsid w:val="00CE566F"/>
    <w:rsid w:val="00CE579E"/>
    <w:rsid w:val="00CE7185"/>
    <w:rsid w:val="00CE7B3C"/>
    <w:rsid w:val="00D00F4A"/>
    <w:rsid w:val="00D02C82"/>
    <w:rsid w:val="00D11DC0"/>
    <w:rsid w:val="00D20AD9"/>
    <w:rsid w:val="00D24F04"/>
    <w:rsid w:val="00D30BE9"/>
    <w:rsid w:val="00D3178E"/>
    <w:rsid w:val="00D40056"/>
    <w:rsid w:val="00D41704"/>
    <w:rsid w:val="00D4689C"/>
    <w:rsid w:val="00D479D2"/>
    <w:rsid w:val="00D6103B"/>
    <w:rsid w:val="00D61BCE"/>
    <w:rsid w:val="00D67D7D"/>
    <w:rsid w:val="00D74D8F"/>
    <w:rsid w:val="00D74DD8"/>
    <w:rsid w:val="00D847C0"/>
    <w:rsid w:val="00D85077"/>
    <w:rsid w:val="00D90DBF"/>
    <w:rsid w:val="00D91A76"/>
    <w:rsid w:val="00D9283D"/>
    <w:rsid w:val="00DA1555"/>
    <w:rsid w:val="00DB0FFC"/>
    <w:rsid w:val="00DB377B"/>
    <w:rsid w:val="00DB4686"/>
    <w:rsid w:val="00DB58EE"/>
    <w:rsid w:val="00DB71E1"/>
    <w:rsid w:val="00DC2EFA"/>
    <w:rsid w:val="00DC3CEB"/>
    <w:rsid w:val="00DC3F8D"/>
    <w:rsid w:val="00DC5AB7"/>
    <w:rsid w:val="00DC77A2"/>
    <w:rsid w:val="00DD01D5"/>
    <w:rsid w:val="00DE2E97"/>
    <w:rsid w:val="00DE3127"/>
    <w:rsid w:val="00DE45DD"/>
    <w:rsid w:val="00DE7935"/>
    <w:rsid w:val="00DF0661"/>
    <w:rsid w:val="00DF240C"/>
    <w:rsid w:val="00DF6EC7"/>
    <w:rsid w:val="00E02C6A"/>
    <w:rsid w:val="00E03ED9"/>
    <w:rsid w:val="00E050E5"/>
    <w:rsid w:val="00E05545"/>
    <w:rsid w:val="00E06B41"/>
    <w:rsid w:val="00E1138B"/>
    <w:rsid w:val="00E12C81"/>
    <w:rsid w:val="00E14F76"/>
    <w:rsid w:val="00E15504"/>
    <w:rsid w:val="00E15A75"/>
    <w:rsid w:val="00E2020F"/>
    <w:rsid w:val="00E2074E"/>
    <w:rsid w:val="00E21DC8"/>
    <w:rsid w:val="00E22179"/>
    <w:rsid w:val="00E23041"/>
    <w:rsid w:val="00E2518C"/>
    <w:rsid w:val="00E326F7"/>
    <w:rsid w:val="00E42435"/>
    <w:rsid w:val="00E50E81"/>
    <w:rsid w:val="00E52462"/>
    <w:rsid w:val="00E53368"/>
    <w:rsid w:val="00E55C94"/>
    <w:rsid w:val="00E638BF"/>
    <w:rsid w:val="00E72ED9"/>
    <w:rsid w:val="00E732E5"/>
    <w:rsid w:val="00E75561"/>
    <w:rsid w:val="00E76BF2"/>
    <w:rsid w:val="00E90ADD"/>
    <w:rsid w:val="00EA0F82"/>
    <w:rsid w:val="00EA2371"/>
    <w:rsid w:val="00EA5332"/>
    <w:rsid w:val="00EB0C4D"/>
    <w:rsid w:val="00EB68C0"/>
    <w:rsid w:val="00EC3041"/>
    <w:rsid w:val="00ED2A4D"/>
    <w:rsid w:val="00ED4F9E"/>
    <w:rsid w:val="00ED721C"/>
    <w:rsid w:val="00EE168A"/>
    <w:rsid w:val="00EE3747"/>
    <w:rsid w:val="00EF6543"/>
    <w:rsid w:val="00F02A30"/>
    <w:rsid w:val="00F15F94"/>
    <w:rsid w:val="00F2387A"/>
    <w:rsid w:val="00F334B4"/>
    <w:rsid w:val="00F41309"/>
    <w:rsid w:val="00F50673"/>
    <w:rsid w:val="00F511D4"/>
    <w:rsid w:val="00F5267F"/>
    <w:rsid w:val="00F66CF6"/>
    <w:rsid w:val="00F67B2E"/>
    <w:rsid w:val="00F73F8D"/>
    <w:rsid w:val="00F850EE"/>
    <w:rsid w:val="00F91EC1"/>
    <w:rsid w:val="00F9266A"/>
    <w:rsid w:val="00F9283B"/>
    <w:rsid w:val="00F93A42"/>
    <w:rsid w:val="00F9737B"/>
    <w:rsid w:val="00FB149D"/>
    <w:rsid w:val="00FB3B8E"/>
    <w:rsid w:val="00FB558C"/>
    <w:rsid w:val="00FC33B4"/>
    <w:rsid w:val="00FC6A18"/>
    <w:rsid w:val="00FC6C44"/>
    <w:rsid w:val="00FD08E1"/>
    <w:rsid w:val="00FD12B2"/>
    <w:rsid w:val="00FD2413"/>
    <w:rsid w:val="00FD5830"/>
    <w:rsid w:val="00FE5FF6"/>
    <w:rsid w:val="00FE6A3D"/>
    <w:rsid w:val="00FE7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643B9-0F47-4A86-87C0-66A2ECD2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04"/>
    <w:pPr>
      <w:jc w:val="both"/>
    </w:pPr>
    <w:rPr>
      <w:rFonts w:ascii="Times New Roman" w:hAnsi="Times New Roman"/>
      <w:sz w:val="24"/>
    </w:rPr>
  </w:style>
  <w:style w:type="paragraph" w:styleId="Balk1">
    <w:name w:val="heading 1"/>
    <w:basedOn w:val="Normal"/>
    <w:next w:val="Normal"/>
    <w:link w:val="Balk1Char"/>
    <w:uiPriority w:val="9"/>
    <w:qFormat/>
    <w:rsid w:val="00E12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15504"/>
    <w:pPr>
      <w:keepNext/>
      <w:keepLines/>
      <w:spacing w:before="200" w:after="0"/>
      <w:outlineLvl w:val="1"/>
    </w:pPr>
    <w:rPr>
      <w:rFonts w:eastAsiaTheme="majorEastAsia" w:cstheme="majorBidi"/>
      <w:b/>
      <w:bCs/>
      <w:color w:val="4F81BD" w:themeColor="accent1"/>
      <w:sz w:val="26"/>
      <w:szCs w:val="26"/>
    </w:rPr>
  </w:style>
  <w:style w:type="paragraph" w:styleId="Balk3">
    <w:name w:val="heading 3"/>
    <w:basedOn w:val="Normal"/>
    <w:next w:val="Normal"/>
    <w:link w:val="Balk3Char"/>
    <w:uiPriority w:val="9"/>
    <w:unhideWhenUsed/>
    <w:qFormat/>
    <w:rsid w:val="00E12C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Glgeleme-Vurgu5">
    <w:name w:val="Light Shading Accent 5"/>
    <w:basedOn w:val="NormalTablo"/>
    <w:uiPriority w:val="60"/>
    <w:rsid w:val="00BA0AF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Vurgu11">
    <w:name w:val="Açık Gölgeleme - Vurgu 11"/>
    <w:basedOn w:val="NormalTablo"/>
    <w:uiPriority w:val="60"/>
    <w:rsid w:val="00BA0A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unhideWhenUsed/>
    <w:rsid w:val="00BA0A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0AF0"/>
    <w:rPr>
      <w:rFonts w:eastAsiaTheme="minorEastAsia"/>
      <w:lang w:eastAsia="tr-TR"/>
    </w:rPr>
  </w:style>
  <w:style w:type="paragraph" w:styleId="BalonMetni">
    <w:name w:val="Balloon Text"/>
    <w:basedOn w:val="Normal"/>
    <w:link w:val="BalonMetniChar"/>
    <w:uiPriority w:val="99"/>
    <w:semiHidden/>
    <w:unhideWhenUsed/>
    <w:rsid w:val="00BA0A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AF0"/>
    <w:rPr>
      <w:rFonts w:ascii="Tahoma" w:hAnsi="Tahoma" w:cs="Tahoma"/>
      <w:sz w:val="16"/>
      <w:szCs w:val="16"/>
    </w:rPr>
  </w:style>
  <w:style w:type="paragraph" w:styleId="ResimYazs">
    <w:name w:val="caption"/>
    <w:basedOn w:val="Normal"/>
    <w:next w:val="Normal"/>
    <w:link w:val="ResimYazsChar"/>
    <w:uiPriority w:val="35"/>
    <w:unhideWhenUsed/>
    <w:qFormat/>
    <w:rsid w:val="00BA0AF0"/>
    <w:pPr>
      <w:spacing w:line="240" w:lineRule="auto"/>
    </w:pPr>
    <w:rPr>
      <w:b/>
      <w:bCs/>
      <w:color w:val="4F81BD" w:themeColor="accent1"/>
      <w:sz w:val="18"/>
      <w:szCs w:val="18"/>
    </w:rPr>
  </w:style>
  <w:style w:type="character" w:customStyle="1" w:styleId="Balk1Char">
    <w:name w:val="Başlık 1 Char"/>
    <w:basedOn w:val="VarsaylanParagrafYazTipi"/>
    <w:link w:val="Balk1"/>
    <w:uiPriority w:val="9"/>
    <w:rsid w:val="00E12C8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E15504"/>
    <w:rPr>
      <w:rFonts w:ascii="Times New Roman" w:eastAsiaTheme="majorEastAsia" w:hAnsi="Times New Roman" w:cstheme="majorBidi"/>
      <w:b/>
      <w:bCs/>
      <w:color w:val="4F81BD" w:themeColor="accent1"/>
      <w:sz w:val="26"/>
      <w:szCs w:val="26"/>
    </w:rPr>
  </w:style>
  <w:style w:type="character" w:customStyle="1" w:styleId="Balk3Char">
    <w:name w:val="Başlık 3 Char"/>
    <w:basedOn w:val="VarsaylanParagrafYazTipi"/>
    <w:link w:val="Balk3"/>
    <w:uiPriority w:val="9"/>
    <w:rsid w:val="00E12C81"/>
    <w:rPr>
      <w:rFonts w:asciiTheme="majorHAnsi" w:eastAsiaTheme="majorEastAsia" w:hAnsiTheme="majorHAnsi" w:cstheme="majorBidi"/>
      <w:b/>
      <w:bCs/>
      <w:color w:val="4F81BD" w:themeColor="accent1"/>
    </w:rPr>
  </w:style>
  <w:style w:type="paragraph" w:styleId="Altbilgi">
    <w:name w:val="footer"/>
    <w:basedOn w:val="Normal"/>
    <w:link w:val="AltbilgiChar"/>
    <w:uiPriority w:val="99"/>
    <w:unhideWhenUsed/>
    <w:rsid w:val="00E155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504"/>
  </w:style>
  <w:style w:type="paragraph" w:customStyle="1" w:styleId="Grafik">
    <w:name w:val="Grafik"/>
    <w:basedOn w:val="ResimYazs"/>
    <w:link w:val="GrafikChar"/>
    <w:qFormat/>
    <w:rsid w:val="00E15504"/>
    <w:pPr>
      <w:keepNext/>
    </w:pPr>
    <w:rPr>
      <w:rFonts w:cs="Times New Roman"/>
      <w:sz w:val="24"/>
      <w:szCs w:val="22"/>
    </w:rPr>
  </w:style>
  <w:style w:type="character" w:customStyle="1" w:styleId="ResimYazsChar">
    <w:name w:val="Resim Yazısı Char"/>
    <w:basedOn w:val="VarsaylanParagrafYazTipi"/>
    <w:link w:val="ResimYazs"/>
    <w:uiPriority w:val="35"/>
    <w:rsid w:val="00E15504"/>
    <w:rPr>
      <w:rFonts w:ascii="Times New Roman" w:hAnsi="Times New Roman"/>
      <w:b/>
      <w:bCs/>
      <w:color w:val="4F81BD" w:themeColor="accent1"/>
      <w:sz w:val="18"/>
      <w:szCs w:val="18"/>
    </w:rPr>
  </w:style>
  <w:style w:type="character" w:customStyle="1" w:styleId="GrafikChar">
    <w:name w:val="Grafik Char"/>
    <w:basedOn w:val="ResimYazsChar"/>
    <w:link w:val="Grafik"/>
    <w:rsid w:val="00E15504"/>
    <w:rPr>
      <w:rFonts w:ascii="Times New Roman" w:hAnsi="Times New Roman" w:cs="Times New Roman"/>
      <w:b/>
      <w:bCs/>
      <w:color w:val="4F81BD" w:themeColor="accent1"/>
      <w:sz w:val="24"/>
      <w:szCs w:val="18"/>
    </w:rPr>
  </w:style>
  <w:style w:type="paragraph" w:styleId="NormalWeb">
    <w:name w:val="Normal (Web)"/>
    <w:basedOn w:val="Normal"/>
    <w:uiPriority w:val="99"/>
    <w:semiHidden/>
    <w:unhideWhenUsed/>
    <w:rsid w:val="006528C8"/>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3217">
      <w:bodyDiv w:val="1"/>
      <w:marLeft w:val="0"/>
      <w:marRight w:val="0"/>
      <w:marTop w:val="0"/>
      <w:marBottom w:val="0"/>
      <w:divBdr>
        <w:top w:val="none" w:sz="0" w:space="0" w:color="auto"/>
        <w:left w:val="none" w:sz="0" w:space="0" w:color="auto"/>
        <w:bottom w:val="none" w:sz="0" w:space="0" w:color="auto"/>
        <w:right w:val="none" w:sz="0" w:space="0" w:color="auto"/>
      </w:divBdr>
    </w:div>
    <w:div w:id="313413074">
      <w:bodyDiv w:val="1"/>
      <w:marLeft w:val="0"/>
      <w:marRight w:val="0"/>
      <w:marTop w:val="0"/>
      <w:marBottom w:val="0"/>
      <w:divBdr>
        <w:top w:val="none" w:sz="0" w:space="0" w:color="auto"/>
        <w:left w:val="none" w:sz="0" w:space="0" w:color="auto"/>
        <w:bottom w:val="none" w:sz="0" w:space="0" w:color="auto"/>
        <w:right w:val="none" w:sz="0" w:space="0" w:color="auto"/>
      </w:divBdr>
    </w:div>
    <w:div w:id="556815967">
      <w:bodyDiv w:val="1"/>
      <w:marLeft w:val="0"/>
      <w:marRight w:val="0"/>
      <w:marTop w:val="0"/>
      <w:marBottom w:val="0"/>
      <w:divBdr>
        <w:top w:val="none" w:sz="0" w:space="0" w:color="auto"/>
        <w:left w:val="none" w:sz="0" w:space="0" w:color="auto"/>
        <w:bottom w:val="none" w:sz="0" w:space="0" w:color="auto"/>
        <w:right w:val="none" w:sz="0" w:space="0" w:color="auto"/>
      </w:divBdr>
    </w:div>
    <w:div w:id="1418936610">
      <w:bodyDiv w:val="1"/>
      <w:marLeft w:val="0"/>
      <w:marRight w:val="0"/>
      <w:marTop w:val="0"/>
      <w:marBottom w:val="0"/>
      <w:divBdr>
        <w:top w:val="none" w:sz="0" w:space="0" w:color="auto"/>
        <w:left w:val="none" w:sz="0" w:space="0" w:color="auto"/>
        <w:bottom w:val="none" w:sz="0" w:space="0" w:color="auto"/>
        <w:right w:val="none" w:sz="0" w:space="0" w:color="auto"/>
      </w:divBdr>
    </w:div>
    <w:div w:id="1569414764">
      <w:bodyDiv w:val="1"/>
      <w:marLeft w:val="0"/>
      <w:marRight w:val="0"/>
      <w:marTop w:val="0"/>
      <w:marBottom w:val="0"/>
      <w:divBdr>
        <w:top w:val="none" w:sz="0" w:space="0" w:color="auto"/>
        <w:left w:val="none" w:sz="0" w:space="0" w:color="auto"/>
        <w:bottom w:val="none" w:sz="0" w:space="0" w:color="auto"/>
        <w:right w:val="none" w:sz="0" w:space="0" w:color="auto"/>
      </w:divBdr>
    </w:div>
    <w:div w:id="1632781590">
      <w:bodyDiv w:val="1"/>
      <w:marLeft w:val="0"/>
      <w:marRight w:val="0"/>
      <w:marTop w:val="0"/>
      <w:marBottom w:val="0"/>
      <w:divBdr>
        <w:top w:val="none" w:sz="0" w:space="0" w:color="auto"/>
        <w:left w:val="none" w:sz="0" w:space="0" w:color="auto"/>
        <w:bottom w:val="none" w:sz="0" w:space="0" w:color="auto"/>
        <w:right w:val="none" w:sz="0" w:space="0" w:color="auto"/>
      </w:divBdr>
    </w:div>
    <w:div w:id="1701398461">
      <w:bodyDiv w:val="1"/>
      <w:marLeft w:val="0"/>
      <w:marRight w:val="0"/>
      <w:marTop w:val="0"/>
      <w:marBottom w:val="0"/>
      <w:divBdr>
        <w:top w:val="none" w:sz="0" w:space="0" w:color="auto"/>
        <w:left w:val="none" w:sz="0" w:space="0" w:color="auto"/>
        <w:bottom w:val="none" w:sz="0" w:space="0" w:color="auto"/>
        <w:right w:val="none" w:sz="0" w:space="0" w:color="auto"/>
      </w:divBdr>
    </w:div>
    <w:div w:id="2108495524">
      <w:bodyDiv w:val="1"/>
      <w:marLeft w:val="0"/>
      <w:marRight w:val="0"/>
      <w:marTop w:val="0"/>
      <w:marBottom w:val="0"/>
      <w:divBdr>
        <w:top w:val="none" w:sz="0" w:space="0" w:color="auto"/>
        <w:left w:val="none" w:sz="0" w:space="0" w:color="auto"/>
        <w:bottom w:val="none" w:sz="0" w:space="0" w:color="auto"/>
        <w:right w:val="none" w:sz="0" w:space="0" w:color="auto"/>
      </w:divBdr>
    </w:div>
    <w:div w:id="21113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B854C-8C17-49CF-8DAE-82DBAD24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ronaldinho424</cp:lastModifiedBy>
  <cp:revision>2</cp:revision>
  <cp:lastPrinted>2019-08-26T08:16:00Z</cp:lastPrinted>
  <dcterms:created xsi:type="dcterms:W3CDTF">2019-11-18T05:41:00Z</dcterms:created>
  <dcterms:modified xsi:type="dcterms:W3CDTF">2019-11-18T05:41:00Z</dcterms:modified>
</cp:coreProperties>
</file>